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5384" w:type="dxa"/>
        <w:tblLayout w:type="fixed"/>
        <w:tblLook w:val="04A0" w:firstRow="1" w:lastRow="0" w:firstColumn="1" w:lastColumn="0" w:noHBand="0" w:noVBand="1"/>
      </w:tblPr>
      <w:tblGrid>
        <w:gridCol w:w="5384"/>
      </w:tblGrid>
      <w:tr w:rsidR="00AA0FB9" w14:paraId="45A480C9" w14:textId="77777777">
        <w:trPr>
          <w:trHeight w:val="676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14:paraId="5D3B43CA" w14:textId="77777777" w:rsidR="00AA0FB9" w:rsidRDefault="00AB3FC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eastAsia="Calibri" w:hAnsi="PDF417x"/>
                <w:sz w:val="24"/>
                <w:szCs w:val="24"/>
              </w:rPr>
              <w:t>+*xfs*pvs*Akl*cvA*xBj*qkc*uaj*ktB*ohs*kkn*pBk*-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+*yqw*wCo*Fzi*oDm*oxA*zbd*wpA*sfc*mDv*pwa*zew*-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+*eDs*lyd*lyd*lyd*lyd*Dkn*yvu*bke*rgy*Bvb*zfE*-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+*ftw*qDa*Dno*tgy*gzj*Blv*lqD*xgz*lsu*wym*onA*-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</w:r>
            <w:r>
              <w:rPr>
                <w:rFonts w:ascii="PDF417x" w:eastAsia="Calibri" w:hAnsi="PDF417x"/>
                <w:sz w:val="24"/>
                <w:szCs w:val="24"/>
              </w:rPr>
              <w:t>+*ftA*xFA*slo*woc*BjC*uBo*xBq*Cjc*Cbo*yCn*uws*-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  <w:t>+*xjq*BCj*dly*Fkz*jBc*Day*jCc*jnB*BxB*bgi*uzq*-</w:t>
            </w:r>
            <w:r>
              <w:rPr>
                <w:rFonts w:ascii="PDF417x" w:eastAsia="Calibri" w:hAnsi="PDF417x"/>
                <w:sz w:val="24"/>
                <w:szCs w:val="24"/>
              </w:rPr>
              <w:br/>
            </w:r>
          </w:p>
        </w:tc>
      </w:tr>
    </w:tbl>
    <w:p w14:paraId="52ED8825" w14:textId="77777777" w:rsidR="00AA0FB9" w:rsidRDefault="00AA0FB9"/>
    <w:tbl>
      <w:tblPr>
        <w:tblStyle w:val="Reetkatablice"/>
        <w:tblW w:w="4195" w:type="dxa"/>
        <w:tblLayout w:type="fixed"/>
        <w:tblLook w:val="04A0" w:firstRow="1" w:lastRow="0" w:firstColumn="1" w:lastColumn="0" w:noHBand="0" w:noVBand="1"/>
      </w:tblPr>
      <w:tblGrid>
        <w:gridCol w:w="4195"/>
      </w:tblGrid>
      <w:tr w:rsidR="00AA0FB9" w14:paraId="1CC33F4E" w14:textId="77777777">
        <w:trPr>
          <w:trHeight w:val="851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D8CC735" w14:textId="77777777" w:rsidR="00AA0FB9" w:rsidRDefault="00AB3FC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46743542" wp14:editId="732BED48">
                  <wp:extent cx="486410" cy="6616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FB9" w:rsidRPr="000B266A" w14:paraId="5182FD74" w14:textId="77777777">
        <w:trPr>
          <w:trHeight w:val="276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09606157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AA0FB9" w:rsidRPr="000B266A" w14:paraId="69580571" w14:textId="77777777">
        <w:trPr>
          <w:trHeight w:val="291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2942237C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AA0FB9" w:rsidRPr="000B266A" w14:paraId="4E46C872" w14:textId="77777777">
        <w:trPr>
          <w:trHeight w:val="276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0D59F22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AA0FB9" w:rsidRPr="000B266A" w14:paraId="585D4B3F" w14:textId="77777777">
        <w:trPr>
          <w:trHeight w:val="291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0C84A93D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</w:tc>
      </w:tr>
    </w:tbl>
    <w:p w14:paraId="0E1C91AC" w14:textId="77777777" w:rsidR="00AA0FB9" w:rsidRPr="000B266A" w:rsidRDefault="00AA0FB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90D2888" w14:textId="77777777" w:rsidR="00AA0FB9" w:rsidRPr="000B266A" w:rsidRDefault="00AB3F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66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KLASA:  363-01/26-01/22 </w:t>
      </w:r>
    </w:p>
    <w:p w14:paraId="08D8DA54" w14:textId="77777777" w:rsidR="00AA0FB9" w:rsidRPr="000B266A" w:rsidRDefault="00AB3FC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B266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 2140-5-02-26-3</w:t>
      </w:r>
    </w:p>
    <w:p w14:paraId="023C71CE" w14:textId="77777777" w:rsidR="00AA0FB9" w:rsidRPr="000B266A" w:rsidRDefault="00AB3FC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B26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Pregrada, </w:t>
      </w:r>
      <w:r w:rsidRPr="000B266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12. </w:t>
      </w:r>
      <w:r w:rsidRPr="000B266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svibnja 2026. godine</w:t>
      </w:r>
    </w:p>
    <w:p w14:paraId="63E6A288" w14:textId="77777777" w:rsidR="00AA0FB9" w:rsidRPr="000B266A" w:rsidRDefault="00AA0FB9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3872"/>
        <w:gridCol w:w="5190"/>
      </w:tblGrid>
      <w:tr w:rsidR="00AA0FB9" w:rsidRPr="000B266A" w14:paraId="2A120D12" w14:textId="77777777">
        <w:trPr>
          <w:trHeight w:val="719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vAlign w:val="center"/>
          </w:tcPr>
          <w:p w14:paraId="21F62C2E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IZVJEŠĆE O SAVJETOVANJU S JAVNOŠĆU</w:t>
            </w:r>
          </w:p>
          <w:p w14:paraId="7C0992FC" w14:textId="77777777" w:rsidR="00AA0FB9" w:rsidRPr="000B266A" w:rsidRDefault="00AB3FC2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 POSTUPKU DONOŠENJA</w:t>
            </w:r>
          </w:p>
          <w:p w14:paraId="1658C92E" w14:textId="77777777" w:rsidR="00AA0FB9" w:rsidRPr="000B266A" w:rsidRDefault="00AB3FC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0B266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zh-CN"/>
              </w:rPr>
              <w:t>Odluke o grobljima na području grada Pregrade</w:t>
            </w:r>
          </w:p>
          <w:p w14:paraId="672AB875" w14:textId="77777777" w:rsidR="00AA0FB9" w:rsidRPr="000B266A" w:rsidRDefault="00AA0F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F35D08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Nositelj izrade izvješća: GRAD PREGRADA</w:t>
            </w:r>
          </w:p>
          <w:p w14:paraId="4F44F7C3" w14:textId="77777777" w:rsidR="00AA0FB9" w:rsidRPr="000B266A" w:rsidRDefault="00AB3F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Mjesto, datum: Pregrada, 12. svibnja 2026.</w:t>
            </w:r>
          </w:p>
          <w:p w14:paraId="23E1D76C" w14:textId="77777777" w:rsidR="00AA0FB9" w:rsidRPr="000B266A" w:rsidRDefault="00AA0F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0FB9" w:rsidRPr="000B266A" w14:paraId="7FDB99B8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18C4648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akta za koji je provedeno savjetovanje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D70EA5C" w14:textId="77777777" w:rsidR="00AA0FB9" w:rsidRPr="000B266A" w:rsidRDefault="00AB3FC2">
            <w:pPr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Odluka o grobljima na području Pregrade</w:t>
            </w:r>
          </w:p>
        </w:tc>
      </w:tr>
      <w:tr w:rsidR="00AA0FB9" w:rsidRPr="000B266A" w14:paraId="4CE48EAF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6A520EE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tijela nadležnog za izradu nacrta / provedbu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ED1252" w14:textId="77777777" w:rsidR="00AA0FB9" w:rsidRPr="000B266A" w:rsidRDefault="00AB3FC2">
            <w:pPr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Upravni odjel za financije i gospodarstvo Grada Pregrade</w:t>
            </w:r>
          </w:p>
        </w:tc>
      </w:tr>
      <w:tr w:rsidR="00AA0FB9" w:rsidRPr="000B266A" w14:paraId="53E00400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42A092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Razlozi za donošenje akta i ciljevi koji se njime žele postići uz sažetak ključnih pitanja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216E870" w14:textId="77777777" w:rsidR="00AA0FB9" w:rsidRPr="000B266A" w:rsidRDefault="00AB3F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Stupanjem na snagu novog Zakona o grobljima („Narodne novine” broj 78/25, 80/25), jedinice lokalne samouprave dužne su uskladiti svoje opće akte s novim zakonskim rješenjima. Budući da je trenutno važeća Odluka o grobljima donesena prema ranijem zakonskom okviru, ista više nije u potpunosti usklađena s važećim propisima te je potrebna izrada nove odluke. </w:t>
            </w:r>
          </w:p>
        </w:tc>
      </w:tr>
      <w:tr w:rsidR="00AA0FB9" w:rsidRPr="000B266A" w14:paraId="5646273A" w14:textId="77777777">
        <w:trPr>
          <w:trHeight w:val="525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40662BE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Objava dokumenata za savjetovanje</w:t>
            </w:r>
          </w:p>
          <w:p w14:paraId="1406FEB3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65CD2D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7D215F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761440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Razdoblje provedbe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EF3B3D1" w14:textId="77777777" w:rsidR="00AA0FB9" w:rsidRPr="000B266A" w:rsidRDefault="00AB3FC2">
            <w:pPr>
              <w:spacing w:after="120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0B266A">
              <w:rPr>
                <w:rStyle w:val="Hiperveza"/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https://www.pregrada.hr/savjetovanje-sa-zainteresiranom-javnoscu-u-postupku-donosenja-opcih-akata/javni-poziv-za-41</w:t>
            </w:r>
          </w:p>
        </w:tc>
      </w:tr>
      <w:tr w:rsidR="00AA0FB9" w:rsidRPr="000B266A" w14:paraId="68D91A33" w14:textId="77777777">
        <w:trPr>
          <w:trHeight w:val="671"/>
        </w:trPr>
        <w:tc>
          <w:tcPr>
            <w:tcW w:w="387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C5BAECA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444D699A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10. travnja 2026. – 11. svibnja 2026. (31 dan)</w:t>
            </w:r>
          </w:p>
        </w:tc>
      </w:tr>
      <w:tr w:rsidR="00AA0FB9" w:rsidRPr="000B266A" w14:paraId="35EECD54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BCF0DE3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Pregled osnovnih pokazatelja uključenosti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154A4DF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14:paraId="2745A59A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0FB9" w:rsidRPr="000B266A" w14:paraId="429C56E4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47E054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Pregled prihvaćenih i neprihvaćenih mišljenja i prijedloga s obrazloženjem razloga za neprihvaćanje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175B95A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14:paraId="2C548C6F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0FB9" w:rsidRPr="000B266A" w14:paraId="0302F8B9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2BE3722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Ostali oblici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655BFB5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14:paraId="32A870FA" w14:textId="77777777" w:rsidR="00AA0FB9" w:rsidRPr="000B266A" w:rsidRDefault="00AA0FB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0FB9" w:rsidRPr="000B266A" w14:paraId="57722869" w14:textId="77777777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40C72C7" w14:textId="77777777" w:rsidR="00AA0FB9" w:rsidRPr="000B266A" w:rsidRDefault="00AB3FC2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Troškovi provedenog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C9BFE29" w14:textId="77777777" w:rsidR="00AA0FB9" w:rsidRPr="000B266A" w:rsidRDefault="00AB3FC2">
            <w:pPr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66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</w:tc>
      </w:tr>
    </w:tbl>
    <w:p w14:paraId="518522DA" w14:textId="77777777" w:rsidR="00AA0FB9" w:rsidRPr="000B266A" w:rsidRDefault="00AA0FB9">
      <w:pPr>
        <w:rPr>
          <w:rFonts w:ascii="Times New Roman" w:hAnsi="Times New Roman" w:cs="Times New Roman"/>
          <w:sz w:val="24"/>
          <w:szCs w:val="24"/>
        </w:rPr>
      </w:pPr>
    </w:p>
    <w:p w14:paraId="7B96F5CF" w14:textId="77777777" w:rsidR="00AA0FB9" w:rsidRPr="000B266A" w:rsidRDefault="00AA0FB9">
      <w:pPr>
        <w:rPr>
          <w:rFonts w:ascii="Times New Roman" w:hAnsi="Times New Roman" w:cs="Times New Roman"/>
          <w:sz w:val="24"/>
          <w:szCs w:val="24"/>
        </w:rPr>
      </w:pPr>
    </w:p>
    <w:p w14:paraId="696106A0" w14:textId="77777777" w:rsidR="00AA0FB9" w:rsidRPr="000B266A" w:rsidRDefault="00AA0FB9">
      <w:pPr>
        <w:rPr>
          <w:rFonts w:ascii="Times New Roman" w:hAnsi="Times New Roman" w:cs="Times New Roman"/>
          <w:sz w:val="24"/>
          <w:szCs w:val="24"/>
        </w:rPr>
      </w:pPr>
    </w:p>
    <w:p w14:paraId="74F9204C" w14:textId="77777777" w:rsidR="00AA0FB9" w:rsidRPr="000B266A" w:rsidRDefault="00AB3FC2">
      <w:pPr>
        <w:rPr>
          <w:rFonts w:ascii="Times New Roman" w:hAnsi="Times New Roman" w:cs="Times New Roman"/>
          <w:sz w:val="24"/>
          <w:szCs w:val="24"/>
        </w:rPr>
      </w:pPr>
      <w:r w:rsidRPr="000B266A">
        <w:rPr>
          <w:rFonts w:ascii="Times New Roman" w:hAnsi="Times New Roman" w:cs="Times New Roman"/>
          <w:sz w:val="24"/>
          <w:szCs w:val="24"/>
        </w:rPr>
        <w:t>Napomena:</w:t>
      </w:r>
    </w:p>
    <w:p w14:paraId="1458FDD2" w14:textId="77777777" w:rsidR="00AA0FB9" w:rsidRPr="000B266A" w:rsidRDefault="00AB3FC2">
      <w:pPr>
        <w:jc w:val="both"/>
        <w:rPr>
          <w:rFonts w:ascii="Times New Roman" w:hAnsi="Times New Roman" w:cs="Times New Roman"/>
          <w:sz w:val="24"/>
          <w:szCs w:val="24"/>
        </w:rPr>
      </w:pPr>
      <w:r w:rsidRPr="000B266A">
        <w:rPr>
          <w:rFonts w:ascii="Times New Roman" w:hAnsi="Times New Roman" w:cs="Times New Roman"/>
          <w:sz w:val="24"/>
          <w:szCs w:val="24"/>
        </w:rPr>
        <w:t>U vremenu trajanja savjetovanja s javnošću nije pristigao ni jedan prijedlog zainteresirane javnosti na Nacrt prijedloga</w:t>
      </w:r>
      <w:r w:rsidRPr="000B266A">
        <w:rPr>
          <w:rFonts w:ascii="Times New Roman" w:hAnsi="Times New Roman" w:cs="Times New Roman"/>
          <w:bCs/>
          <w:sz w:val="24"/>
          <w:szCs w:val="24"/>
        </w:rPr>
        <w:t xml:space="preserve"> Odluke.</w:t>
      </w:r>
    </w:p>
    <w:p w14:paraId="350E1EA8" w14:textId="77777777" w:rsidR="00AA0FB9" w:rsidRPr="000B266A" w:rsidRDefault="00AA0FB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BAE3CD" w14:textId="77777777" w:rsidR="00AA0FB9" w:rsidRPr="000B266A" w:rsidRDefault="00AA0FB9">
      <w:pPr>
        <w:rPr>
          <w:rFonts w:ascii="Times New Roman" w:hAnsi="Times New Roman" w:cs="Times New Roman"/>
          <w:sz w:val="24"/>
          <w:szCs w:val="24"/>
        </w:rPr>
      </w:pPr>
    </w:p>
    <w:p w14:paraId="11C22856" w14:textId="77777777" w:rsidR="00AA0FB9" w:rsidRPr="000B266A" w:rsidRDefault="00AA0FB9">
      <w:pPr>
        <w:rPr>
          <w:rFonts w:ascii="Times New Roman" w:hAnsi="Times New Roman" w:cs="Times New Roman"/>
          <w:sz w:val="24"/>
          <w:szCs w:val="24"/>
        </w:rPr>
      </w:pPr>
    </w:p>
    <w:p w14:paraId="60921E44" w14:textId="77777777" w:rsidR="00AA0FB9" w:rsidRPr="000B266A" w:rsidRDefault="00AB3FC2">
      <w:pPr>
        <w:jc w:val="right"/>
        <w:rPr>
          <w:rFonts w:ascii="Times New Roman" w:hAnsi="Times New Roman" w:cs="Times New Roman"/>
          <w:sz w:val="24"/>
          <w:szCs w:val="24"/>
        </w:rPr>
      </w:pPr>
      <w:r w:rsidRPr="000B266A">
        <w:rPr>
          <w:rFonts w:ascii="Times New Roman" w:hAnsi="Times New Roman" w:cs="Times New Roman"/>
          <w:sz w:val="24"/>
          <w:szCs w:val="24"/>
        </w:rPr>
        <w:t>GRADONAČELNIK</w:t>
      </w:r>
    </w:p>
    <w:p w14:paraId="60A00B4A" w14:textId="77777777" w:rsidR="00AA0FB9" w:rsidRPr="000B266A" w:rsidRDefault="00AA0FB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DE07FF" w14:textId="77777777" w:rsidR="00AA0FB9" w:rsidRPr="000B266A" w:rsidRDefault="00AB3FC2">
      <w:pPr>
        <w:jc w:val="right"/>
        <w:rPr>
          <w:rFonts w:ascii="Times New Roman" w:hAnsi="Times New Roman" w:cs="Times New Roman"/>
          <w:sz w:val="24"/>
          <w:szCs w:val="24"/>
        </w:rPr>
      </w:pPr>
      <w:r w:rsidRPr="000B266A">
        <w:rPr>
          <w:rFonts w:ascii="Times New Roman" w:hAnsi="Times New Roman" w:cs="Times New Roman"/>
          <w:sz w:val="24"/>
          <w:szCs w:val="24"/>
        </w:rPr>
        <w:t>Goran Vukmanić</w:t>
      </w:r>
    </w:p>
    <w:p w14:paraId="3EE5B3FA" w14:textId="77777777" w:rsidR="00AA0FB9" w:rsidRDefault="00AA0FB9">
      <w:pPr>
        <w:jc w:val="right"/>
        <w:rPr>
          <w:rFonts w:ascii="Times New Roman" w:hAnsi="Times New Roman"/>
          <w:sz w:val="24"/>
          <w:szCs w:val="24"/>
        </w:rPr>
      </w:pPr>
    </w:p>
    <w:p w14:paraId="0D365EDB" w14:textId="77777777" w:rsidR="00AA0FB9" w:rsidRDefault="00AA0FB9">
      <w:pPr>
        <w:jc w:val="right"/>
      </w:pPr>
    </w:p>
    <w:p w14:paraId="79E1B3A6" w14:textId="77777777" w:rsidR="00AA0FB9" w:rsidRDefault="00AA0FB9"/>
    <w:p w14:paraId="62B5DB11" w14:textId="77777777" w:rsidR="00AA0FB9" w:rsidRDefault="00AA0FB9">
      <w:pPr>
        <w:spacing w:after="160" w:line="259" w:lineRule="auto"/>
        <w:jc w:val="right"/>
        <w:rPr>
          <w:rFonts w:eastAsia="Times New Roman" w:cs="Times New Roman"/>
        </w:rPr>
      </w:pPr>
    </w:p>
    <w:p w14:paraId="75A20D70" w14:textId="77777777" w:rsidR="00AA0FB9" w:rsidRDefault="00AA0FB9">
      <w:pPr>
        <w:spacing w:after="160" w:line="259" w:lineRule="auto"/>
        <w:rPr>
          <w:rFonts w:eastAsia="Times New Roman" w:cs="Times New Roman"/>
        </w:rPr>
      </w:pPr>
    </w:p>
    <w:p w14:paraId="64EA81F6" w14:textId="77777777" w:rsidR="00AA0FB9" w:rsidRDefault="00AA0FB9">
      <w:pPr>
        <w:spacing w:after="160" w:line="259" w:lineRule="auto"/>
        <w:rPr>
          <w:rFonts w:eastAsia="Times New Roman" w:cs="Times New Roman"/>
        </w:rPr>
      </w:pPr>
    </w:p>
    <w:p w14:paraId="1388B960" w14:textId="77777777" w:rsidR="00AA0FB9" w:rsidRDefault="00AA0FB9">
      <w:pPr>
        <w:spacing w:after="160" w:line="259" w:lineRule="auto"/>
        <w:rPr>
          <w:rFonts w:eastAsia="Times New Roman" w:cs="Times New Roman"/>
        </w:rPr>
      </w:pPr>
    </w:p>
    <w:p w14:paraId="7F3C46C7" w14:textId="6B8238CA" w:rsidR="00AA0FB9" w:rsidRDefault="000B266A">
      <w:pPr>
        <w:rPr>
          <w:b/>
        </w:rPr>
      </w:pPr>
      <w:r>
        <w:rPr>
          <w:noProof/>
        </w:rPr>
        <w:pict w14:anchorId="088D5F75">
          <v:rect id="Text Box 2" o:spid="_x0000_s1026" style="position:absolute;margin-left:8.6pt;margin-top:729.65pt;width:278.35pt;height:79.9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" o:allowincell="f" stroked="f">
            <v:textbox>
              <w:txbxContent>
                <w:p w14:paraId="266371DB" w14:textId="77777777" w:rsidR="00AA0FB9" w:rsidRDefault="00AA0FB9">
                  <w:pPr>
                    <w:pStyle w:val="Sadrajokvira"/>
                    <w:contextualSpacing/>
                  </w:pPr>
                </w:p>
              </w:txbxContent>
            </v:textbox>
            <w10:wrap anchorx="page" anchory="page"/>
          </v:rect>
        </w:pict>
      </w:r>
    </w:p>
    <w:sectPr w:rsidR="00AA0FB9">
      <w:pgSz w:w="11906" w:h="16838"/>
      <w:pgMar w:top="1417" w:right="1417" w:bottom="426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0FB9"/>
    <w:rsid w:val="000B266A"/>
    <w:rsid w:val="00AA0FB9"/>
    <w:rsid w:val="00AB3FC2"/>
    <w:rsid w:val="00CA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DB9414"/>
  <w15:docId w15:val="{C252CC81-0DA4-455F-9273-E587AAA5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 w:themeColor="followedHyperlink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MIKRESIMIR</dc:creator>
  <dc:description/>
  <cp:lastModifiedBy>Romana Pavlinec</cp:lastModifiedBy>
  <cp:revision>4</cp:revision>
  <cp:lastPrinted>2014-11-26T14:09:00Z</cp:lastPrinted>
  <dcterms:created xsi:type="dcterms:W3CDTF">2024-02-08T08:48:00Z</dcterms:created>
  <dcterms:modified xsi:type="dcterms:W3CDTF">2026-05-20T05:27:00Z</dcterms:modified>
  <dc:language>hr-HR</dc:language>
</cp:coreProperties>
</file>