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Grid1"/>
        <w:tblpPr w:vertAnchor="text" w:horzAnchor="page" w:leftFromText="180" w:rightFromText="180" w:tblpX="5738" w:tblpY="-633"/>
        <w:tblW w:w="538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84"/>
      </w:tblGrid>
      <w:tr>
        <w:trPr>
          <w:trHeight w:val="676" w:hRule="atLeast"/>
        </w:trPr>
        <w:tc>
          <w:tcPr>
            <w:tcW w:w="53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contextualSpacing/>
              <w:jc w:val="right"/>
              <w:rPr>
                <w:rFonts w:ascii="PDF417x" w:hAnsi="PDF417x" w:eastAsia="Times New Roman" w:cs="Times New Roman"/>
                <w:sz w:val="24"/>
                <w:szCs w:val="24"/>
              </w:rPr>
            </w:pPr>
            <w:r>
              <w:rPr>
                <w:rFonts w:eastAsia="Calibri" w:cs="" w:ascii="PDF417x" w:hAnsi="PDF417x"/>
                <w:kern w:val="0"/>
                <w:sz w:val="24"/>
                <w:szCs w:val="24"/>
                <w:lang w:val="hr-HR" w:eastAsia="en-US" w:bidi="ar-SA"/>
              </w:rPr>
              <w:t>+*xfs*pvs*Akl*cvA*xBj*qkc*uaj*ktB*ohs*kkn*pBk*-</w:t>
              <w:br/>
              <w:t>+*yqw*wCo*Fzb*Eyc*ugB*dzb*khx*kfv*cbo*uyb*zew*-</w:t>
              <w:br/>
              <w:t>+*eDs*udz*lyd*lyd*lyd*aay*sfx*yfv*Alj*iDb*zfE*-</w:t>
              <w:br/>
              <w:t>+*ftw*lcs*gaE*lcs*odk*uFs*sdb*nii*mvk*owj*onA*-</w:t>
              <w:br/>
              <w:t>+*ftA*mwC*fyi*wnr*Anu*fyi*lic*abu*BjE*krc*uws*-</w:t>
              <w:br/>
              <w:t>+*xjq*lEz*btm*lfw*rpk*chy*DCb*ruE*llj*Egz*uzq*-</w:t>
              <w:br/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Reetkatablice"/>
        <w:tblW w:w="419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95"/>
      </w:tblGrid>
      <w:tr>
        <w:trPr>
          <w:trHeight w:val="851" w:hRule="atLeast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drawing>
                <wp:inline distT="0" distB="0" distL="0" distR="0">
                  <wp:extent cx="486410" cy="661670"/>
                  <wp:effectExtent l="0" t="0" r="0" b="0"/>
                  <wp:docPr id="1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410" cy="661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76" w:hRule="atLeast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hr-HR" w:eastAsia="en-US" w:bidi="ar-SA"/>
              </w:rPr>
              <w:t>REPUBLIKA HRVATSKA</w:t>
            </w:r>
          </w:p>
        </w:tc>
      </w:tr>
      <w:tr>
        <w:trPr>
          <w:trHeight w:val="291" w:hRule="atLeast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hr-HR" w:eastAsia="en-US" w:bidi="ar-SA"/>
              </w:rPr>
              <w:t>KRAPINSKO – ZAGORSKA ŽUPANIJA</w:t>
            </w:r>
          </w:p>
        </w:tc>
      </w:tr>
      <w:tr>
        <w:trPr>
          <w:trHeight w:val="276" w:hRule="atLeast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hr-HR" w:eastAsia="en-US" w:bidi="ar-SA"/>
              </w:rPr>
              <w:t>GRAD PREGRADA</w:t>
            </w:r>
          </w:p>
        </w:tc>
      </w:tr>
      <w:tr>
        <w:trPr>
          <w:trHeight w:val="291" w:hRule="atLeast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hr-HR" w:eastAsia="en-US" w:bidi="ar-SA"/>
              </w:rPr>
              <w:t>GRADONAČELNIK</w:t>
            </w:r>
          </w:p>
        </w:tc>
      </w:tr>
    </w:tbl>
    <w:p>
      <w:pPr>
        <w:pStyle w:val="Normal"/>
        <w:jc w:val="both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  <w:t xml:space="preserve">KLASA:  363-05/25-01/19 </w:t>
      </w:r>
    </w:p>
    <w:p>
      <w:pPr>
        <w:pStyle w:val="Normal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  <w:t>URBROJ: 2140-5-0</w:t>
      </w:r>
      <w:r>
        <w:rPr>
          <w:rFonts w:eastAsia="Times New Roman" w:cs="Times New Roman" w:ascii="Times New Roman" w:hAnsi="Times New Roman"/>
          <w:color w:val="000000"/>
          <w:lang w:eastAsia="hr-HR"/>
        </w:rPr>
        <w:t>2</w:t>
      </w:r>
      <w:r>
        <w:rPr>
          <w:rFonts w:eastAsia="Times New Roman" w:cs="Times New Roman" w:ascii="Times New Roman" w:hAnsi="Times New Roman"/>
          <w:color w:val="000000"/>
          <w:lang w:eastAsia="hr-HR"/>
        </w:rPr>
        <w:t>-26-15</w:t>
      </w:r>
    </w:p>
    <w:p>
      <w:pPr>
        <w:pStyle w:val="Normal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lang w:eastAsia="hr-HR"/>
        </w:rPr>
        <w:t xml:space="preserve">Pregrada, </w:t>
      </w:r>
      <w:r>
        <w:rPr>
          <w:rFonts w:eastAsia="Times New Roman" w:cs="Times New Roman" w:ascii="Times New Roman" w:hAnsi="Times New Roman"/>
          <w:color w:val="000000"/>
          <w:lang w:eastAsia="hr-HR"/>
        </w:rPr>
        <w:t>20.08.2026.</w:t>
      </w:r>
    </w:p>
    <w:p>
      <w:pPr>
        <w:pStyle w:val="Normal"/>
        <w:spacing w:lineRule="auto" w:line="259" w:before="0" w:after="16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tbl>
      <w:tblPr>
        <w:tblW w:w="9062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872"/>
        <w:gridCol w:w="5190"/>
      </w:tblGrid>
      <w:tr>
        <w:trPr>
          <w:trHeight w:val="719" w:hRule="atLeast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365F91"/>
              <w:right w:val="single" w:sz="4" w:space="0" w:color="000000"/>
            </w:tcBorders>
            <w:shd w:color="auto" w:fill="B8CCE4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IZVJEŠĆE O SAVJETOVANJU S JAVNOŠĆU</w:t>
            </w:r>
          </w:p>
          <w:p>
            <w:pPr>
              <w:pStyle w:val="Normal"/>
              <w:ind w:firstLine="7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U POSTUPKU DONOŠENJA</w:t>
            </w:r>
          </w:p>
          <w:p>
            <w:pPr>
              <w:pStyle w:val="Normal"/>
              <w:jc w:val="center"/>
              <w:rPr/>
            </w:pPr>
            <w:r>
              <w:rPr>
                <w:rFonts w:eastAsia="" w:cs="Times New Roman" w:ascii="Times New Roman" w:hAnsi="Times New Roman" w:eastAsiaTheme="minorEastAsia"/>
                <w:b/>
                <w:bCs/>
                <w:sz w:val="22"/>
                <w:szCs w:val="22"/>
                <w:lang w:eastAsia="zh-CN"/>
              </w:rPr>
              <w:t xml:space="preserve">Odluke </w:t>
            </w:r>
            <w:r>
              <w:rPr>
                <w:rFonts w:eastAsia="" w:cs="Times New Roman" w:ascii="Times New Roman" w:hAnsi="Times New Roman" w:eastAsiaTheme="minorEastAsia"/>
                <w:b w:val="false"/>
                <w:bCs/>
                <w:sz w:val="22"/>
                <w:szCs w:val="22"/>
                <w:lang w:eastAsia="zh-CN"/>
              </w:rPr>
              <w:t xml:space="preserve">o V. izmjenama i dopunama Odluke </w:t>
            </w:r>
            <w:r>
              <w:rPr>
                <w:rFonts w:eastAsia="" w:cs="Times New Roman" w:ascii="Times New Roman" w:hAnsi="Times New Roman" w:eastAsiaTheme="minorEastAsia"/>
                <w:b/>
                <w:bCs/>
                <w:sz w:val="22"/>
                <w:szCs w:val="22"/>
                <w:lang w:eastAsia="zh-CN"/>
              </w:rPr>
              <w:t>o načinu pružanja javne usluge sakupljanja komunalnog otpada na području grada Pregrade</w:t>
            </w:r>
          </w:p>
          <w:p>
            <w:pPr>
              <w:pStyle w:val="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Nositelj izrade izvješća: GRAD PREGRADA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Mjesto, datum: Pregrada,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20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kolovoza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2026.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Naziv akta za koji je provedeno savjetovanje s javnošću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 xml:space="preserve">Odluke </w:t>
            </w:r>
            <w:r>
              <w:rPr>
                <w:rFonts w:cs="Times New Roman" w:ascii="Times New Roman" w:hAnsi="Times New Roman"/>
                <w:b w:val="false"/>
                <w:bCs/>
                <w:sz w:val="22"/>
                <w:szCs w:val="22"/>
              </w:rPr>
              <w:t xml:space="preserve">o V. izmjenama i dopunama Odluke </w:t>
            </w: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 xml:space="preserve">o načinu pružanja javne usluge sakupljanja komunalnog otpada na području grada Pregrade </w:t>
            </w:r>
          </w:p>
        </w:tc>
      </w:tr>
      <w:tr>
        <w:trPr/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Naziv tijela nadležnog za izradu nacrta / provedbu savjetovanja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jc w:val="both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Upravni odjel za financije i gospodarstvo Grada Pregrade</w:t>
            </w:r>
          </w:p>
        </w:tc>
      </w:tr>
      <w:tr>
        <w:trPr/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Razlozi za donošenje akta i ciljevi koji se njime žele postići uz sažetak ključnih pitanja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>
            <w:pPr>
              <w:pStyle w:val="Normal"/>
              <w:ind w:hanging="0" w:left="0" w:right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Sukladno zahtjevu koncesionara za pružanje javne usluge sakupljanja komunalnog otpada na području grada Pregrade, društva MULL-TRANS d.o.o., Mokrice 180/C, 49243 Oroslavje, OIB: 81751042446, pristupilo se izradi IV. izmjena i dopuna Odluke o načinu pružanja javne usluge sakupljanja komunalnog otpada na području grada Pregrade.</w:t>
            </w:r>
          </w:p>
          <w:p>
            <w:pPr>
              <w:pStyle w:val="BodyText"/>
              <w:spacing w:before="0" w:after="140"/>
              <w:ind w:hanging="0" w:left="0" w:righ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Predloženim izmjenama cijena obvezne minimalne javne usluge povećala bi se s dosadašnjih 12,50 eura na 22,04 eura mjesečno, što predstavlja povećanje od 76,32 %. </w:t>
            </w: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Prema zahtjevu i obrazloženju koncesionara, povećanje cijene predlaže se zbog značajnog rasta troškova pružanja javne usluge, osobito troškova odlaganja i obrade otpada, energenata i goriva, rada i plaća zaposlenika, održavanja vozila i opreme te drugih operativnih troškova povezanih s organizacijom i redovitim pružanjem javne usluge.</w:t>
            </w:r>
          </w:p>
        </w:tc>
      </w:tr>
      <w:tr>
        <w:trPr>
          <w:trHeight w:val="525" w:hRule="atLeast"/>
        </w:trPr>
        <w:tc>
          <w:tcPr>
            <w:tcW w:w="3872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Objava dokumenata za savjetovanje</w:t>
            </w:r>
          </w:p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Razdoblje provedbe savjetovanja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eastAsia="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Style w:val="Hyperlink"/>
                <w:rFonts w:eastAsia="" w:cs="Times New Roman" w:ascii="Times New Roman" w:hAnsi="Times New Roman" w:eastAsiaTheme="minorEastAsia"/>
                <w:sz w:val="24"/>
                <w:szCs w:val="24"/>
                <w:lang w:eastAsia="zh-CN"/>
              </w:rPr>
              <w:t>https://www.pregrada.hr/savjetovanje-sa-zainteresiranom-javnoscu-u-postupku-donosenja-opcih-akata/javni-poziv-za-45</w:t>
            </w:r>
          </w:p>
        </w:tc>
      </w:tr>
      <w:tr>
        <w:trPr>
          <w:trHeight w:val="671" w:hRule="atLeast"/>
        </w:trPr>
        <w:tc>
          <w:tcPr>
            <w:tcW w:w="3872" w:type="dxa"/>
            <w:vMerge w:val="continue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000000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20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.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srpnja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2026. –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20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.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kolovoza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2026. (31 dan)</w:t>
            </w:r>
          </w:p>
        </w:tc>
      </w:tr>
      <w:tr>
        <w:trPr/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Pregled osnovnih pokazatelja uključenosti savjetovanja s javnošću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/</w:t>
            </w:r>
          </w:p>
          <w:p>
            <w:pPr>
              <w:pStyle w:val="Normal"/>
              <w:spacing w:before="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Pregled prihvaćenih i neprihvaćenih mišljenja i prijedloga s obrazloženjem razloga za neprihvaćanje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/</w:t>
            </w:r>
          </w:p>
          <w:p>
            <w:pPr>
              <w:pStyle w:val="Normal"/>
              <w:spacing w:before="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Ostali oblici savjetovanja s javnošću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/</w:t>
            </w:r>
          </w:p>
          <w:p>
            <w:pPr>
              <w:pStyle w:val="Normal"/>
              <w:spacing w:before="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Troškovi provedenog savjetovanja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>
            <w:pPr>
              <w:pStyle w:val="Normal"/>
              <w:spacing w:before="0" w:after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/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Napomena: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 vremenu trajanja savjetovanja s javnošću nije pristigao ni jedan prijedlog zainteresirane javnosti na Nacrt prijedloga</w:t>
      </w:r>
      <w:r>
        <w:rPr>
          <w:rFonts w:cs="Times New Roman" w:ascii="Times New Roman" w:hAnsi="Times New Roman"/>
          <w:bCs/>
          <w:sz w:val="24"/>
          <w:szCs w:val="24"/>
        </w:rPr>
        <w:t xml:space="preserve"> Odluke.</w:t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GRADONAČELNIK</w:t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Goran Vukmanić</w:t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pacing w:lineRule="auto" w:line="259" w:before="0" w:after="160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pacing w:lineRule="auto" w:line="259" w:before="0" w:after="160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rPr>
          <w:b/>
        </w:rPr>
      </w:pPr>
      <w:r>
        <w:rPr>
          <w:b/>
        </w:rPr>
        <mc:AlternateContent>
          <mc:Choice Requires="wps">
            <w:drawing>
              <wp:anchor behindDoc="0" distT="0" distB="0" distL="0" distR="0" simplePos="0" locked="0" layoutInCell="0" allowOverlap="1" relativeHeight="3" wp14:anchorId="6E6A168A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2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5200" cy="101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adrajokvira"/>
                              <w:spacing w:before="0" w:after="0"/>
                              <w:contextualSpacing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fillcolor="white" stroked="f" o:allowincell="f" style="position:absolute;margin-left:8.6pt;margin-top:729.65pt;width:278.3pt;height:79.85pt;mso-wrap-style:none;v-text-anchor:middle;mso-position-horizontal-relative:page;mso-position-vertical-relative:page" wp14:anchorId="6E6A168A">
                <v:fill o:detectmouseclick="t" type="solid" color2="black"/>
                <v:stroke color="#3465a4" weight="9360" joinstyle="miter" endcap="flat"/>
                <v:textbox>
                  <w:txbxContent>
                    <w:p>
                      <w:pPr>
                        <w:pStyle w:val="Sadrajokvira"/>
                        <w:spacing w:before="0" w:after="0"/>
                        <w:contextualSpacing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type w:val="nextPage"/>
      <w:pgSz w:w="11906" w:h="16838"/>
      <w:pgMar w:left="1417" w:right="1417" w:gutter="0" w:header="0" w:top="1417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DF417x"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baloniaChar" w:customStyle="1">
    <w:name w:val="Tekst balončića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baloniaChar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Sadrajokvira">
    <w:name w:val="Sadržaj okvir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1">
    <w:name w:val="Table Grid1"/>
    <w:basedOn w:val="Obinatablica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LibreOffice/7.6.1.2$Windows_X86_64 LibreOffice_project/f5defcebd022c5bc36bbb79be232cb6926d8f674</Application>
  <AppVersion>15.0000</AppVersion>
  <Pages>2</Pages>
  <Words>298</Words>
  <Characters>2268</Characters>
  <CharactersWithSpaces>2536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2024-02-08T08:48:00Z</dcterms:created>
  <dc:creator>MIKRESIMIR</dc:creator>
  <dc:description/>
  <dc:language>hr-HR</dc:language>
  <cp:lastModifiedBy/>
  <cp:lastPrinted>2014-11-26T14:09:00Z</cp:lastPrinted>
  <dcterms:modified xsi:type="dcterms:W3CDTF">2026-09-03T12:43:32Z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