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Reetkatablice"/>
        <w:tblW w:w="45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58"/>
      </w:tblGrid>
      <w:tr>
        <w:trPr>
          <w:trHeight w:val="1489" w:hRule="atLeast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hr-HR" w:bidi="ar-SA"/>
              </w:rPr>
            </w:pPr>
            <w:r>
              <w:rPr/>
              <w:drawing>
                <wp:inline distT="0" distB="0" distL="0" distR="0">
                  <wp:extent cx="666750" cy="869950"/>
                  <wp:effectExtent l="0" t="0" r="0" b="0"/>
                  <wp:docPr id="1" name="Slik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76" w:hRule="atLeast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hr-HR" w:bidi="ar-SA"/>
              </w:rPr>
              <w:t>REPUBLIKA HRVATSKA</w:t>
            </w:r>
          </w:p>
        </w:tc>
      </w:tr>
      <w:tr>
        <w:trPr>
          <w:trHeight w:val="291" w:hRule="atLeast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hr-HR" w:bidi="ar-SA"/>
              </w:rPr>
              <w:t>KRAPINSKO – ZAGORSKA ŽUPANIJA</w:t>
            </w:r>
          </w:p>
        </w:tc>
      </w:tr>
      <w:tr>
        <w:trPr>
          <w:trHeight w:val="276" w:hRule="atLeast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hr-HR" w:bidi="ar-SA"/>
              </w:rPr>
              <w:t>GRAD PREGRADA</w:t>
            </w:r>
          </w:p>
        </w:tc>
      </w:tr>
      <w:tr>
        <w:trPr>
          <w:trHeight w:val="291" w:hRule="atLeast"/>
        </w:trPr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lang w:val="hr-HR" w:bidi="ar-SA"/>
              </w:rPr>
              <w:t>GRADONAČELNIK</w:t>
            </w:r>
          </w:p>
        </w:tc>
      </w:tr>
    </w:tbl>
    <w:p>
      <w:pPr>
        <w:pStyle w:val="Normal"/>
        <w:tabs>
          <w:tab w:val="clear" w:pos="708"/>
          <w:tab w:val="left" w:pos="1710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710" w:leader="none"/>
        </w:tabs>
        <w:jc w:val="both"/>
        <w:rPr/>
      </w:pPr>
      <w:r>
        <w:rPr/>
        <w:t>KLASA: 301-01/23-01/01</w:t>
      </w:r>
    </w:p>
    <w:p>
      <w:pPr>
        <w:pStyle w:val="Normal"/>
        <w:tabs>
          <w:tab w:val="clear" w:pos="708"/>
          <w:tab w:val="left" w:pos="1710" w:leader="none"/>
        </w:tabs>
        <w:jc w:val="both"/>
        <w:rPr/>
      </w:pPr>
      <w:r>
        <w:rPr/>
        <w:t>URBROJ:2140-5-02-23-2</w:t>
      </w:r>
    </w:p>
    <w:p>
      <w:pPr>
        <w:pStyle w:val="Normal"/>
        <w:tabs>
          <w:tab w:val="clear" w:pos="708"/>
          <w:tab w:val="left" w:pos="1710" w:leader="none"/>
        </w:tabs>
        <w:jc w:val="both"/>
        <w:rPr/>
      </w:pPr>
      <w:r>
        <w:rPr/>
        <w:t xml:space="preserve">Pregrada, 1. rujna 2023. 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Temeljem članka 11. Zakona o pravu na pristup informacijama („Narodne novine“ br. 25/13, 85/15) i točke V. i VI. Kodeksa savjetovanja sa zainteresiranom javnošću u postupcima donošenja općih akata grada Pregrade („Službeni glasnik Krapinsko – zagorske županije“, br. 32/14), Grad Pregrada pokreće proces savjetovanja sa zainteresiranom javnošću u postupku donošenja Strategije zelene urbane obnove Grada Pregrade za razdoblje od 2023. do 2030. godine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J A V N I    P O Z I V</w:t>
      </w:r>
    </w:p>
    <w:p>
      <w:pPr>
        <w:pStyle w:val="Normal"/>
        <w:jc w:val="center"/>
        <w:rPr/>
      </w:pPr>
      <w:r>
        <w:rPr/>
        <w:t>za savjetovanje sa zainteresiranom javnošću u postupku donošenja prijedloga</w:t>
      </w:r>
    </w:p>
    <w:p>
      <w:pPr>
        <w:pStyle w:val="Normal"/>
        <w:jc w:val="center"/>
        <w:rPr/>
      </w:pPr>
      <w:r>
        <w:rPr/>
        <w:t xml:space="preserve">Strategije zelene urbane obnove Grada Pregrade za razdoblje od 2023. do 2030. godine 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 xml:space="preserve">Strategija zelene urbane obnove je strateška podloga od značaja za Grad Pregradu izrađena u svrhu ostvarenja ciljeva razvoja zelene infrastrukture integracije NBS rješenja (Rješenja temeljena na prirodi) unapređenja kružnog gospodarenja prostorom i zgradama, ostvarenja ciljeva energetske učinkovitosti, prilagodbe klimatskim promjenama i jačanja otpornosti na rizike. Zelena infrastruktura je prirodni kapital održivog razvoja nekog prostora, a čine ju zelena i plava komponenta. Svi oblici trajnog zelenila i vode u okolišu i na zgradama su potencijalni sastavni elementi zelene infrastrukture te su poticajno njihovog povezivanja u strateški planiranu mrežu koja uključuje i kružno gospodarenje prostorom i zgradama. Kružno gospodarenje prostorom i zgradama podrazumijeva ponovno korištenje zgrada i prostora i produljenje trajnosti postojećih prostora i zgrada, poticanje mjera smanjenja količine građevinskog otpada te povećanje energetske učinkovitosti i korištenja obnovljenih izvora energije te ponovnog korištenja postojećih građevinskih proizvoda i materijala. </w:t>
      </w:r>
    </w:p>
    <w:p>
      <w:pPr>
        <w:pStyle w:val="Normal"/>
        <w:ind w:firstLine="708"/>
        <w:jc w:val="both"/>
        <w:rPr/>
      </w:pPr>
      <w:r>
        <w:rPr/>
        <w:t xml:space="preserve">Implementacija definiranih mjera, odnosno aktivnosti i projekata predmetne Strategije doprinijet će općem razvoju Grada, povećanju kvalitete javnih prostora te posljedično povećanju kvalitete života na području Grada što predstavlja razloge izrade. </w:t>
      </w:r>
    </w:p>
    <w:p>
      <w:pPr>
        <w:pStyle w:val="Normal"/>
        <w:ind w:firstLine="708"/>
        <w:jc w:val="both"/>
        <w:rPr/>
      </w:pPr>
      <w:r>
        <w:rPr/>
        <w:t xml:space="preserve">Predmeti dokument izrađen je u skladu sa sadržajem za izradu istog koji je potpisan Aneksom 1. Smjernice za izradu Strategija zelene urbane obnove danim u okviru Poziv Izrada strategije zelene urbane obnove – NPOO.C6.1.R5.01. </w:t>
      </w:r>
    </w:p>
    <w:p>
      <w:pPr>
        <w:pStyle w:val="Normal"/>
        <w:ind w:firstLine="708"/>
        <w:jc w:val="both"/>
        <w:rPr/>
      </w:pPr>
      <w:r>
        <w:rPr/>
        <w:t xml:space="preserve">Također, prilikom izrade Strategije korištenje su relevantne smjernice i upute za izradu strateških i sektorskih dokumenata na lokalnoj razini, uključujući Uredbu o smjernicama za izradu akata strateškog planiranja od nacionalnog značaja i značaja za jedinice lokalne i područne (regionalne) samouprave („Narodne novine“ br. 37/23), Upute za izradu provedbenih programa i Priručnik o strateškom planiranju. 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Svoja mišljenja i očitovanja na Nacrt prijedloga Strategije zelene urbane obnove Grada Pregrade za razdoblje od 2023. do 2030. godine možete u pisanom obliku na propisanom obrascu poslati na adresu Grad Pregrada, Upravni odjel za financije i gospodarstvo, Josipa Karla Tuškana 2, Pregrada ili na e-mail adresu: grad@pregrada.hr zaključno do 2. listopada 2023. godine do 9 sati, bez obzira na način dostave.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Svi u roku pristigli prijedlozi razmotrit će se, a oni prihvaćeni, ukomponirati u konačni prijedlog Strategije zelene urbane obnove Grada Pregrade za razdoblje od 2023. do 2030. godine koji će se proslijediti Gradskom vijeću Grada Pregrade na donošenje.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left="4956" w:firstLine="708"/>
        <w:jc w:val="right"/>
        <w:rPr/>
      </w:pPr>
      <w:r>
        <w:rPr/>
        <w:t>GRADONAČELNIK</w:t>
      </w:r>
    </w:p>
    <w:p>
      <w:pPr>
        <w:pStyle w:val="Normal"/>
        <w:ind w:left="4956" w:firstLine="708"/>
        <w:jc w:val="right"/>
        <w:rPr/>
      </w:pPr>
      <w:r>
        <w:rPr/>
      </w:r>
    </w:p>
    <w:p>
      <w:pPr>
        <w:pStyle w:val="Normal"/>
        <w:ind w:left="4820" w:firstLine="708"/>
        <w:jc w:val="right"/>
        <w:rPr/>
      </w:pPr>
      <w:r>
        <w:rPr/>
        <w:t xml:space="preserve">Marko Vešligaj, univ. spec. pol., </w:t>
      </w:r>
      <w:r>
        <w:rPr/>
        <w:t>v.r.</w:t>
      </w:r>
    </w:p>
    <w:p>
      <w:pPr>
        <w:pStyle w:val="Normal"/>
        <w:ind w:left="4820" w:firstLine="708"/>
        <w:jc w:val="right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7d0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b57d09"/>
    <w:rPr>
      <w:rFonts w:ascii="Tahoma" w:hAnsi="Tahoma" w:eastAsia="Times New Roman" w:cs="Tahoma"/>
      <w:sz w:val="16"/>
      <w:szCs w:val="16"/>
      <w:lang w:eastAsia="hr-HR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b57d0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0a4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unhideWhenUsed/>
    <w:rsid w:val="000c40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LibreOffice/7.5.4.2$Windows_X86_64 LibreOffice_project/36ccfdc35048b057fd9854c757a8b67ec53977b6</Application>
  <AppVersion>15.0000</AppVersion>
  <Pages>2</Pages>
  <Words>469</Words>
  <Characters>2974</Characters>
  <CharactersWithSpaces>3437</CharactersWithSpaces>
  <Paragraphs>20</Paragraphs>
  <Company>Grad Pregrada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2022-01-14T10:32:00Z</dcterms:created>
  <dc:creator>Renata</dc:creator>
  <dc:description/>
  <dc:language>hr-HR</dc:language>
  <cp:lastModifiedBy/>
  <cp:lastPrinted>2023-09-01T12:43:20Z</cp:lastPrinted>
  <dcterms:modified xsi:type="dcterms:W3CDTF">2023-09-01T12:44:01Z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