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Sportska zajednica grada Pregrade,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Ul. Ljudevita Gaja 32, 49 218 Pregrada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OIB:25201242779,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IBAN</w:t>
      </w:r>
      <w:r w:rsidR="0006672E">
        <w:rPr>
          <w:rFonts w:ascii="Times New Roman" w:hAnsi="Times New Roman" w:cs="Times New Roman"/>
          <w:bCs/>
          <w:sz w:val="24"/>
          <w:lang w:val="de-DE"/>
        </w:rPr>
        <w:t xml:space="preserve"> HR</w:t>
      </w:r>
      <w:r w:rsidRPr="00B04521">
        <w:rPr>
          <w:rFonts w:ascii="Times New Roman" w:hAnsi="Times New Roman" w:cs="Times New Roman"/>
          <w:bCs/>
          <w:sz w:val="24"/>
          <w:lang w:val="de-DE"/>
        </w:rPr>
        <w:t>0423400091110776063</w:t>
      </w:r>
      <w:r w:rsidR="0006672E">
        <w:rPr>
          <w:rFonts w:ascii="Times New Roman" w:hAnsi="Times New Roman" w:cs="Times New Roman"/>
          <w:bCs/>
          <w:sz w:val="24"/>
          <w:lang w:val="de-DE"/>
        </w:rPr>
        <w:t>, Privredna banka Zagreb d.d.</w:t>
      </w:r>
    </w:p>
    <w:p w:rsidR="00B04521" w:rsidRPr="00B04521" w:rsidRDefault="00B04521" w:rsidP="00B04521">
      <w:pPr>
        <w:rPr>
          <w:rFonts w:ascii="Times New Roman" w:hAnsi="Times New Roman" w:cs="Times New Roman"/>
          <w:sz w:val="24"/>
        </w:rPr>
      </w:pPr>
      <w:r w:rsidRPr="00B04521">
        <w:rPr>
          <w:rFonts w:ascii="Times New Roman" w:eastAsia="Times New Roman" w:hAnsi="Times New Roman" w:cs="Times New Roman"/>
          <w:bCs/>
          <w:sz w:val="24"/>
          <w:lang w:val="de-DE"/>
        </w:rPr>
        <w:t>Predsjednik</w:t>
      </w:r>
      <w:r w:rsidR="0006672E">
        <w:rPr>
          <w:rFonts w:ascii="Times New Roman" w:eastAsia="Times New Roman" w:hAnsi="Times New Roman" w:cs="Times New Roman"/>
          <w:bCs/>
          <w:sz w:val="24"/>
          <w:lang w:val="de-DE"/>
        </w:rPr>
        <w:t xml:space="preserve"> SZGP</w:t>
      </w:r>
      <w:r w:rsidRPr="00B04521">
        <w:rPr>
          <w:rFonts w:ascii="Times New Roman" w:eastAsia="Times New Roman" w:hAnsi="Times New Roman" w:cs="Times New Roman"/>
          <w:bCs/>
          <w:sz w:val="24"/>
          <w:lang w:val="de-DE"/>
        </w:rPr>
        <w:t>,</w:t>
      </w:r>
    </w:p>
    <w:p w:rsidR="00B04521" w:rsidRDefault="0006672E" w:rsidP="00B045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Pregradi, </w:t>
      </w:r>
      <w:r w:rsidR="009926DD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.0</w:t>
      </w:r>
      <w:r w:rsidR="009926D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.2019</w:t>
      </w:r>
      <w:r w:rsidR="00B04521" w:rsidRPr="00B04521">
        <w:rPr>
          <w:rFonts w:ascii="Times New Roman" w:hAnsi="Times New Roman" w:cs="Times New Roman"/>
          <w:sz w:val="24"/>
        </w:rPr>
        <w:t xml:space="preserve">. godine                </w:t>
      </w:r>
    </w:p>
    <w:p w:rsidR="008365DD" w:rsidRPr="003F0A86" w:rsidRDefault="00DC3776" w:rsidP="003F0A86">
      <w:pPr>
        <w:jc w:val="both"/>
        <w:rPr>
          <w:rFonts w:ascii="Times New Roman" w:hAnsi="Times New Roman" w:cs="Times New Roman"/>
          <w:sz w:val="24"/>
        </w:rPr>
      </w:pPr>
      <w:r w:rsidRPr="00DC3776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539_"/>
          </v:shape>
        </w:pict>
      </w:r>
    </w:p>
    <w:p w:rsidR="008365DD" w:rsidRPr="00AD7464" w:rsidRDefault="00AD7464" w:rsidP="00AD7464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29. Pravilnika o financiranju programa i projekata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 u sportu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na području grada Pregrade (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03.ožujak 2016.g.</w:t>
      </w:r>
      <w:r w:rsidR="00CE5DB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),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članka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54. Statuta SZGP (02.veljače 2016.g.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),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Javnog natječaja</w:t>
      </w:r>
      <w:r w:rsidR="0006672E" w:rsidRPr="0006672E">
        <w:t xml:space="preserve"> </w:t>
      </w:r>
      <w:r w:rsidR="0006672E" w:rsidRP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za financiranje projekata/programa udruga u sportu na području grada Pregrade za 2019. godinu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od 01.02.2019. godine,</w:t>
      </w:r>
      <w:r w:rsidR="009926D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prijedloga Povjerenstva za ocjenjiva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nje prijavljenih projekata od 18.04.2019. godine</w:t>
      </w:r>
      <w:r w:rsidR="0024145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241452" w:rsidRPr="0024145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9926D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 konačnog prijedloga Povjerenstva za ocjenjivanje prijavljenih projekata od 14.05.2019. godine,</w:t>
      </w:r>
      <w:r w:rsidR="009926DD" w:rsidRPr="0024145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DE489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Predsjednik SZGP, 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9926D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KONAČNU </w:t>
      </w:r>
      <w:bookmarkStart w:id="0" w:name="_GoBack"/>
      <w:bookmarkEnd w:id="0"/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dodjeli financijskih sredstava projektima udruga </w:t>
      </w:r>
      <w:r w:rsidR="00B04521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u sportu na području grada </w:t>
      </w:r>
      <w:r w:rsidR="0006672E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2019</w:t>
      </w:r>
      <w:r w:rsidR="00B04521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AD7464" w:rsidRDefault="00DE4896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projektima udruga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koje su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prijavile projekt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na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Javni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 za financiranje projek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ta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/programa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 u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sportu na po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dručju grada Pregrade za 2019</w:t>
      </w:r>
      <w:r w:rsidR="00CD033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odinu</w:t>
      </w:r>
      <w:r w:rsidR="00CE5DB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Sportske zajednice grada Pregrade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. </w:t>
      </w:r>
    </w:p>
    <w:p w:rsidR="002E3702" w:rsidRDefault="00AD7464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06672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/programima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udruga;</w:t>
      </w:r>
    </w:p>
    <w:tbl>
      <w:tblPr>
        <w:tblStyle w:val="Reetkatablice"/>
        <w:tblpPr w:leftFromText="180" w:rightFromText="180" w:vertAnchor="text" w:horzAnchor="margin" w:tblpXSpec="center" w:tblpY="250"/>
        <w:tblW w:w="9180" w:type="dxa"/>
        <w:tblLayout w:type="fixed"/>
        <w:tblLook w:val="04A0"/>
      </w:tblPr>
      <w:tblGrid>
        <w:gridCol w:w="675"/>
        <w:gridCol w:w="2552"/>
        <w:gridCol w:w="2161"/>
        <w:gridCol w:w="1808"/>
        <w:gridCol w:w="1984"/>
      </w:tblGrid>
      <w:tr w:rsidR="0006672E" w:rsidTr="0006672E">
        <w:trPr>
          <w:trHeight w:val="1261"/>
        </w:trPr>
        <w:tc>
          <w:tcPr>
            <w:tcW w:w="675" w:type="dxa"/>
          </w:tcPr>
          <w:p w:rsidR="0006672E" w:rsidRDefault="0006672E" w:rsidP="00C80EDC">
            <w:pPr>
              <w:rPr>
                <w:rFonts w:ascii="Times New Roman" w:hAnsi="Times New Roman"/>
                <w:sz w:val="24"/>
                <w:szCs w:val="24"/>
              </w:rPr>
            </w:pPr>
            <w:r w:rsidRPr="00A71ADD">
              <w:rPr>
                <w:rFonts w:ascii="Times New Roman" w:hAnsi="Times New Roman"/>
                <w:sz w:val="24"/>
                <w:szCs w:val="24"/>
              </w:rPr>
              <w:t>Red.br.</w:t>
            </w:r>
          </w:p>
        </w:tc>
        <w:tc>
          <w:tcPr>
            <w:tcW w:w="2552" w:type="dxa"/>
          </w:tcPr>
          <w:p w:rsidR="0006672E" w:rsidRDefault="0006672E" w:rsidP="00C80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2161" w:type="dxa"/>
          </w:tcPr>
          <w:p w:rsidR="0006672E" w:rsidRDefault="0006672E" w:rsidP="00C80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</w:t>
            </w:r>
          </w:p>
          <w:p w:rsidR="0006672E" w:rsidRDefault="0006672E" w:rsidP="00C80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</w:tc>
        <w:tc>
          <w:tcPr>
            <w:tcW w:w="1808" w:type="dxa"/>
          </w:tcPr>
          <w:p w:rsidR="0006672E" w:rsidRDefault="0006672E" w:rsidP="00C80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bodovi od ukupno 100</w:t>
            </w:r>
          </w:p>
        </w:tc>
        <w:tc>
          <w:tcPr>
            <w:tcW w:w="1984" w:type="dxa"/>
          </w:tcPr>
          <w:p w:rsidR="0006672E" w:rsidRDefault="0006672E" w:rsidP="00C80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Povjerenstva u kunama</w:t>
            </w:r>
          </w:p>
        </w:tc>
      </w:tr>
      <w:tr w:rsidR="0006672E" w:rsidTr="0006672E">
        <w:trPr>
          <w:trHeight w:val="1261"/>
        </w:trPr>
        <w:tc>
          <w:tcPr>
            <w:tcW w:w="675" w:type="dxa"/>
          </w:tcPr>
          <w:p w:rsidR="0006672E" w:rsidRPr="00A71ADD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HPD „KUNAGORA“ Pregrada, Vrhi Pregradski 69, Pregrada</w:t>
            </w:r>
          </w:p>
        </w:tc>
        <w:tc>
          <w:tcPr>
            <w:tcW w:w="2161" w:type="dxa"/>
          </w:tcPr>
          <w:p w:rsidR="0006672E" w:rsidRPr="00673571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 „Šetnjom do zdravlja-2019“</w:t>
            </w:r>
          </w:p>
        </w:tc>
        <w:tc>
          <w:tcPr>
            <w:tcW w:w="1808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10.500,00</w:t>
            </w:r>
          </w:p>
        </w:tc>
      </w:tr>
      <w:tr w:rsidR="0006672E" w:rsidTr="0006672E">
        <w:trPr>
          <w:trHeight w:val="1261"/>
        </w:trPr>
        <w:tc>
          <w:tcPr>
            <w:tcW w:w="675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 Pregrada, Trg Gospe Kunagorske 15, Pregrada</w:t>
            </w:r>
          </w:p>
        </w:tc>
        <w:tc>
          <w:tcPr>
            <w:tcW w:w="2161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Realizacija plana rada ŠK Pregrada za 2019. godinu</w:t>
            </w:r>
          </w:p>
        </w:tc>
        <w:tc>
          <w:tcPr>
            <w:tcW w:w="1808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06672E" w:rsidTr="0006672E">
        <w:trPr>
          <w:trHeight w:val="1261"/>
        </w:trPr>
        <w:tc>
          <w:tcPr>
            <w:tcW w:w="675" w:type="dxa"/>
          </w:tcPr>
          <w:p w:rsidR="0006672E" w:rsidRPr="00A71ADD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 w:rsidRPr="00673571">
              <w:rPr>
                <w:rFonts w:ascii="Times New Roman" w:hAnsi="Times New Roman"/>
                <w:sz w:val="24"/>
                <w:szCs w:val="24"/>
              </w:rPr>
              <w:t>NK Pregrada, Ul. Ljudevita Gaja 32, Pregrada</w:t>
            </w:r>
          </w:p>
        </w:tc>
        <w:tc>
          <w:tcPr>
            <w:tcW w:w="2161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 w:rsidRPr="00673571">
              <w:rPr>
                <w:rFonts w:ascii="Times New Roman" w:hAnsi="Times New Roman"/>
                <w:sz w:val="24"/>
                <w:szCs w:val="24"/>
              </w:rPr>
              <w:t>„Natjecateljska sezona 2018./2019. i 2019./2020.“</w:t>
            </w:r>
          </w:p>
        </w:tc>
        <w:tc>
          <w:tcPr>
            <w:tcW w:w="1808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102.000,00</w:t>
            </w:r>
          </w:p>
        </w:tc>
      </w:tr>
      <w:tr w:rsidR="0006672E" w:rsidTr="0006672E">
        <w:trPr>
          <w:trHeight w:val="1261"/>
        </w:trPr>
        <w:tc>
          <w:tcPr>
            <w:tcW w:w="675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NK Pregrada, Ul. Ljudevita Gaja 32, Pregrada</w:t>
            </w:r>
          </w:p>
        </w:tc>
        <w:tc>
          <w:tcPr>
            <w:tcW w:w="2161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„Natjecateljska sezona 2018./2019. i 2019./2020.“</w:t>
            </w:r>
          </w:p>
        </w:tc>
        <w:tc>
          <w:tcPr>
            <w:tcW w:w="1808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165.000,00</w:t>
            </w:r>
          </w:p>
        </w:tc>
      </w:tr>
      <w:tr w:rsidR="0006672E" w:rsidTr="0006672E">
        <w:trPr>
          <w:trHeight w:val="1261"/>
        </w:trPr>
        <w:tc>
          <w:tcPr>
            <w:tcW w:w="675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ŠRD Gorica, Ulica Stjepana Radića 17, Pregrada</w:t>
            </w:r>
          </w:p>
        </w:tc>
        <w:tc>
          <w:tcPr>
            <w:tcW w:w="2161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Program:</w:t>
            </w:r>
          </w:p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Ribolovna sezona 2019.</w:t>
            </w:r>
          </w:p>
        </w:tc>
        <w:tc>
          <w:tcPr>
            <w:tcW w:w="1808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4.500,00</w:t>
            </w:r>
          </w:p>
        </w:tc>
      </w:tr>
      <w:tr w:rsidR="0006672E" w:rsidTr="0006672E">
        <w:trPr>
          <w:trHeight w:val="1261"/>
        </w:trPr>
        <w:tc>
          <w:tcPr>
            <w:tcW w:w="675" w:type="dxa"/>
          </w:tcPr>
          <w:p w:rsidR="0006672E" w:rsidRDefault="0006672E" w:rsidP="00066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72E" w:rsidRPr="000D6A47" w:rsidRDefault="0006672E" w:rsidP="00066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6A47">
              <w:rPr>
                <w:rFonts w:ascii="Times New Roman" w:hAnsi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161" w:type="dxa"/>
          </w:tcPr>
          <w:p w:rsidR="0006672E" w:rsidRPr="000D6A47" w:rsidRDefault="0006672E" w:rsidP="00066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6672E" w:rsidRPr="000D6A47" w:rsidRDefault="0006672E" w:rsidP="00066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6672E" w:rsidRPr="000D6A47" w:rsidRDefault="0006672E" w:rsidP="00066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6A47">
              <w:rPr>
                <w:rFonts w:ascii="Times New Roman" w:hAnsi="Times New Roman"/>
                <w:b/>
                <w:sz w:val="24"/>
                <w:szCs w:val="24"/>
              </w:rPr>
              <w:t>292.000,00</w:t>
            </w:r>
          </w:p>
        </w:tc>
      </w:tr>
    </w:tbl>
    <w:p w:rsidR="00AD7464" w:rsidRDefault="00AD7464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D7464" w:rsidRDefault="00AD7464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</w:p>
    <w:p w:rsidR="008365DD" w:rsidRDefault="002E3702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Članak 2</w:t>
      </w:r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0D6A47" w:rsidRPr="00AD7464" w:rsidRDefault="000D6A47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</w:p>
    <w:p w:rsidR="00AD7464" w:rsidRPr="00AD7464" w:rsidRDefault="002E3702" w:rsidP="00543668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biti će objavljena na službenoj web stranici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543668" w:rsidRDefault="00543668" w:rsidP="00543668">
      <w:pPr>
        <w:spacing w:line="276" w:lineRule="auto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Predsjednik SZGP</w:t>
      </w:r>
    </w:p>
    <w:p w:rsidR="008365DD" w:rsidRPr="00AD7464" w:rsidRDefault="00AD7464" w:rsidP="00AD7464">
      <w:pPr>
        <w:spacing w:line="276" w:lineRule="auto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 w:rsidRPr="00AD7464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Zlatko Šorša</w:t>
      </w:r>
      <w:r w:rsidR="000A326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,v.r.</w:t>
      </w:r>
    </w:p>
    <w:sectPr w:rsidR="008365DD" w:rsidRPr="00AD7464" w:rsidSect="00B0452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8365DD"/>
    <w:rsid w:val="0006672E"/>
    <w:rsid w:val="000A326D"/>
    <w:rsid w:val="000D6A47"/>
    <w:rsid w:val="0016155C"/>
    <w:rsid w:val="001D6C9A"/>
    <w:rsid w:val="00241452"/>
    <w:rsid w:val="002E3702"/>
    <w:rsid w:val="003126A0"/>
    <w:rsid w:val="003F0A86"/>
    <w:rsid w:val="004810C0"/>
    <w:rsid w:val="004F614A"/>
    <w:rsid w:val="00505DA0"/>
    <w:rsid w:val="0051414F"/>
    <w:rsid w:val="00543668"/>
    <w:rsid w:val="00684D9C"/>
    <w:rsid w:val="007C159E"/>
    <w:rsid w:val="00824553"/>
    <w:rsid w:val="00830900"/>
    <w:rsid w:val="008365DD"/>
    <w:rsid w:val="009926DD"/>
    <w:rsid w:val="00A2320E"/>
    <w:rsid w:val="00A52E2C"/>
    <w:rsid w:val="00AA7685"/>
    <w:rsid w:val="00AD7464"/>
    <w:rsid w:val="00AF7CB4"/>
    <w:rsid w:val="00B04521"/>
    <w:rsid w:val="00BA75BD"/>
    <w:rsid w:val="00CC1987"/>
    <w:rsid w:val="00CC4550"/>
    <w:rsid w:val="00CD0330"/>
    <w:rsid w:val="00CE0679"/>
    <w:rsid w:val="00CE5DB1"/>
    <w:rsid w:val="00DC3776"/>
    <w:rsid w:val="00DE4896"/>
    <w:rsid w:val="00E475A8"/>
    <w:rsid w:val="00ED3D50"/>
    <w:rsid w:val="00EE6126"/>
    <w:rsid w:val="00F4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377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C3776"/>
  </w:style>
  <w:style w:type="character" w:customStyle="1" w:styleId="FooterChar">
    <w:name w:val="Footer Char"/>
    <w:basedOn w:val="Zadanifontodlomka"/>
    <w:rsid w:val="00DC3776"/>
  </w:style>
  <w:style w:type="character" w:customStyle="1" w:styleId="ListLabel1">
    <w:name w:val="ListLabel 1"/>
    <w:rsid w:val="00DC3776"/>
    <w:rPr>
      <w:sz w:val="24"/>
    </w:rPr>
  </w:style>
  <w:style w:type="character" w:customStyle="1" w:styleId="ListLabel2">
    <w:name w:val="ListLabel 2"/>
    <w:rsid w:val="00DC3776"/>
    <w:rPr>
      <w:rFonts w:cs="Courier New"/>
    </w:rPr>
  </w:style>
  <w:style w:type="character" w:customStyle="1" w:styleId="ListLabel3">
    <w:name w:val="ListLabel 3"/>
    <w:rsid w:val="00DC377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C37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C3776"/>
    <w:pPr>
      <w:spacing w:after="140" w:line="288" w:lineRule="auto"/>
    </w:pPr>
  </w:style>
  <w:style w:type="paragraph" w:styleId="Popis">
    <w:name w:val="List"/>
    <w:basedOn w:val="Tijeloteksta"/>
    <w:rsid w:val="00DC3776"/>
    <w:rPr>
      <w:rFonts w:cs="Arial"/>
    </w:rPr>
  </w:style>
  <w:style w:type="paragraph" w:customStyle="1" w:styleId="Opiselementa">
    <w:name w:val="Opis elementa"/>
    <w:basedOn w:val="Normal"/>
    <w:rsid w:val="00DC37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C3776"/>
    <w:pPr>
      <w:suppressLineNumbers/>
    </w:pPr>
    <w:rPr>
      <w:rFonts w:cs="Arial"/>
    </w:rPr>
  </w:style>
  <w:style w:type="paragraph" w:styleId="Zaglavlje">
    <w:name w:val="header"/>
    <w:basedOn w:val="Normal"/>
    <w:rsid w:val="00DC377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C377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5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D7464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BCF37-61CD-4D38-80DE-67CD62C5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4</cp:revision>
  <cp:lastPrinted>2019-05-14T13:33:00Z</cp:lastPrinted>
  <dcterms:created xsi:type="dcterms:W3CDTF">2019-05-14T13:33:00Z</dcterms:created>
  <dcterms:modified xsi:type="dcterms:W3CDTF">2019-05-17T13:10:00Z</dcterms:modified>
  <dc:language>hr-HR</dc:language>
</cp:coreProperties>
</file>