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5384" w:type="dxa"/>
        <w:tblLayout w:type="fixed"/>
        <w:tblLook w:val="04A0" w:firstRow="1" w:lastRow="0" w:firstColumn="1" w:lastColumn="0" w:noHBand="0" w:noVBand="1"/>
      </w:tblPr>
      <w:tblGrid>
        <w:gridCol w:w="5384"/>
      </w:tblGrid>
      <w:tr w:rsidR="00F23EC9" w14:paraId="7FD341CA" w14:textId="77777777">
        <w:trPr>
          <w:trHeight w:val="676"/>
        </w:trPr>
        <w:tc>
          <w:tcPr>
            <w:tcW w:w="5384" w:type="dxa"/>
            <w:tcBorders>
              <w:top w:val="nil"/>
              <w:left w:val="nil"/>
              <w:bottom w:val="nil"/>
              <w:right w:val="nil"/>
            </w:tcBorders>
          </w:tcPr>
          <w:p w14:paraId="646E8AE4" w14:textId="77777777" w:rsidR="00F23EC9" w:rsidRDefault="00D91B65">
            <w:pPr>
              <w:contextualSpacing/>
              <w:jc w:val="right"/>
              <w:rPr>
                <w:rFonts w:ascii="PDF417x" w:eastAsia="Times New Roman" w:hAnsi="PDF417x" w:cs="Times New Roman"/>
                <w:sz w:val="24"/>
                <w:szCs w:val="24"/>
              </w:rPr>
            </w:pPr>
            <w:r>
              <w:rPr>
                <w:rFonts w:ascii="PDF417x" w:eastAsia="Calibri" w:hAnsi="PDF417x"/>
                <w:sz w:val="24"/>
                <w:szCs w:val="24"/>
              </w:rPr>
              <w:t>+*xfs*pvs*Akl*cvA*xBj*qkc*uaj*ktB*ohs*kkn*pBk*-</w:t>
            </w:r>
            <w:r>
              <w:rPr>
                <w:rFonts w:ascii="PDF417x" w:eastAsia="Calibri" w:hAnsi="PDF417x"/>
                <w:sz w:val="24"/>
                <w:szCs w:val="24"/>
              </w:rPr>
              <w:br/>
              <w:t>+*yqw*wCo*Fzi*oDm*oxA*zbd*wpA*sfc*mDv*uyb*zew*-</w:t>
            </w:r>
            <w:r>
              <w:rPr>
                <w:rFonts w:ascii="PDF417x" w:eastAsia="Calibri" w:hAnsi="PDF417x"/>
                <w:sz w:val="24"/>
                <w:szCs w:val="24"/>
              </w:rPr>
              <w:br/>
              <w:t>+*eDs*lyd*lyd*lyd*lyd*bqg*nwl*ifA*jkt*Evw*zfE*-</w:t>
            </w:r>
            <w:r>
              <w:rPr>
                <w:rFonts w:ascii="PDF417x" w:eastAsia="Calibri" w:hAnsi="PDF417x"/>
                <w:sz w:val="24"/>
                <w:szCs w:val="24"/>
              </w:rPr>
              <w:br/>
              <w:t>+*ftw*xyt*vmB*rDc*sxq*oaw*klg*Dbr*CkE*sus*onA*-</w:t>
            </w:r>
            <w:r>
              <w:rPr>
                <w:rFonts w:ascii="PDF417x" w:eastAsia="Calibri" w:hAnsi="PDF417x"/>
                <w:sz w:val="24"/>
                <w:szCs w:val="24"/>
              </w:rPr>
              <w:br/>
            </w:r>
            <w:r>
              <w:rPr>
                <w:rFonts w:ascii="PDF417x" w:eastAsia="Calibri" w:hAnsi="PDF417x"/>
                <w:sz w:val="24"/>
                <w:szCs w:val="24"/>
              </w:rPr>
              <w:t>+*ftA*owc*any*CDt*mDo*sqc*gzC*nDt*xll*yfb*uws*-</w:t>
            </w:r>
            <w:r>
              <w:rPr>
                <w:rFonts w:ascii="PDF417x" w:eastAsia="Calibri" w:hAnsi="PDF417x"/>
                <w:sz w:val="24"/>
                <w:szCs w:val="24"/>
              </w:rPr>
              <w:br/>
              <w:t>+*xjq*frw*gls*bxt*Dsd*wvx*bgw*vym*wrm*Bwd*uzq*-</w:t>
            </w:r>
            <w:r>
              <w:rPr>
                <w:rFonts w:ascii="PDF417x" w:eastAsia="Calibri" w:hAnsi="PDF417x"/>
                <w:sz w:val="24"/>
                <w:szCs w:val="24"/>
              </w:rPr>
              <w:br/>
            </w:r>
          </w:p>
        </w:tc>
      </w:tr>
    </w:tbl>
    <w:p w14:paraId="668FD0FA" w14:textId="77777777" w:rsidR="00F23EC9" w:rsidRDefault="00F23EC9">
      <w:pPr>
        <w:rPr>
          <w:sz w:val="24"/>
          <w:szCs w:val="24"/>
        </w:rPr>
      </w:pPr>
    </w:p>
    <w:tbl>
      <w:tblPr>
        <w:tblStyle w:val="Reetkatablice"/>
        <w:tblW w:w="4195" w:type="dxa"/>
        <w:tblInd w:w="-109" w:type="dxa"/>
        <w:tblLayout w:type="fixed"/>
        <w:tblLook w:val="04A0" w:firstRow="1" w:lastRow="0" w:firstColumn="1" w:lastColumn="0" w:noHBand="0" w:noVBand="1"/>
      </w:tblPr>
      <w:tblGrid>
        <w:gridCol w:w="4195"/>
      </w:tblGrid>
      <w:tr w:rsidR="00F23EC9" w14:paraId="585CFE57" w14:textId="77777777">
        <w:trPr>
          <w:trHeight w:val="851"/>
        </w:trPr>
        <w:tc>
          <w:tcPr>
            <w:tcW w:w="4195" w:type="dxa"/>
            <w:tcBorders>
              <w:top w:val="nil"/>
              <w:left w:val="nil"/>
              <w:bottom w:val="nil"/>
              <w:right w:val="nil"/>
            </w:tcBorders>
          </w:tcPr>
          <w:p w14:paraId="3650E48E" w14:textId="77777777" w:rsidR="00F23EC9" w:rsidRDefault="00D91B65">
            <w:pPr>
              <w:jc w:val="center"/>
              <w:rPr>
                <w:rFonts w:ascii="Calibri" w:eastAsia="Calibri" w:hAnsi="Calibri"/>
                <w:sz w:val="24"/>
                <w:szCs w:val="24"/>
              </w:rPr>
            </w:pPr>
            <w:r>
              <w:rPr>
                <w:noProof/>
              </w:rPr>
              <w:drawing>
                <wp:inline distT="0" distB="0" distL="0" distR="0" wp14:anchorId="13E25CB6" wp14:editId="6E0B79AC">
                  <wp:extent cx="486410" cy="661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486410" cy="661670"/>
                          </a:xfrm>
                          <a:prstGeom prst="rect">
                            <a:avLst/>
                          </a:prstGeom>
                        </pic:spPr>
                      </pic:pic>
                    </a:graphicData>
                  </a:graphic>
                </wp:inline>
              </w:drawing>
            </w:r>
          </w:p>
        </w:tc>
      </w:tr>
      <w:tr w:rsidR="00F23EC9" w14:paraId="5810F172" w14:textId="77777777">
        <w:trPr>
          <w:trHeight w:val="276"/>
        </w:trPr>
        <w:tc>
          <w:tcPr>
            <w:tcW w:w="4195" w:type="dxa"/>
            <w:tcBorders>
              <w:top w:val="nil"/>
              <w:left w:val="nil"/>
              <w:bottom w:val="nil"/>
              <w:right w:val="nil"/>
            </w:tcBorders>
          </w:tcPr>
          <w:p w14:paraId="029638E2" w14:textId="77777777" w:rsidR="00F23EC9" w:rsidRDefault="00D91B65">
            <w:pPr>
              <w:jc w:val="center"/>
              <w:rPr>
                <w:rFonts w:ascii="Times New Roman" w:hAnsi="Times New Roman" w:cs="Times New Roman"/>
                <w:b/>
                <w:bCs/>
                <w:sz w:val="24"/>
                <w:szCs w:val="24"/>
              </w:rPr>
            </w:pPr>
            <w:r>
              <w:rPr>
                <w:rFonts w:ascii="Times New Roman" w:eastAsia="Calibri" w:hAnsi="Times New Roman" w:cs="Times New Roman"/>
                <w:b/>
                <w:bCs/>
                <w:sz w:val="24"/>
                <w:szCs w:val="24"/>
              </w:rPr>
              <w:t>REPUBLIKA HRVATSKA</w:t>
            </w:r>
          </w:p>
        </w:tc>
      </w:tr>
      <w:tr w:rsidR="00F23EC9" w14:paraId="5BDBBB99" w14:textId="77777777">
        <w:trPr>
          <w:trHeight w:val="291"/>
        </w:trPr>
        <w:tc>
          <w:tcPr>
            <w:tcW w:w="4195" w:type="dxa"/>
            <w:tcBorders>
              <w:top w:val="nil"/>
              <w:left w:val="nil"/>
              <w:bottom w:val="nil"/>
              <w:right w:val="nil"/>
            </w:tcBorders>
          </w:tcPr>
          <w:p w14:paraId="1D0B76DD" w14:textId="77777777" w:rsidR="00F23EC9" w:rsidRDefault="00D91B65">
            <w:pPr>
              <w:jc w:val="center"/>
              <w:rPr>
                <w:rFonts w:ascii="Times New Roman" w:hAnsi="Times New Roman" w:cs="Times New Roman"/>
                <w:b/>
                <w:bCs/>
                <w:sz w:val="24"/>
                <w:szCs w:val="24"/>
              </w:rPr>
            </w:pPr>
            <w:r>
              <w:rPr>
                <w:rFonts w:ascii="Times New Roman" w:eastAsia="Calibri" w:hAnsi="Times New Roman" w:cs="Times New Roman"/>
                <w:b/>
                <w:bCs/>
                <w:sz w:val="24"/>
                <w:szCs w:val="24"/>
              </w:rPr>
              <w:t>KRAPINSKO – ZAGORSKA ŽUPANIJA</w:t>
            </w:r>
          </w:p>
        </w:tc>
      </w:tr>
      <w:tr w:rsidR="00F23EC9" w14:paraId="2706DEB5" w14:textId="77777777">
        <w:trPr>
          <w:trHeight w:val="276"/>
        </w:trPr>
        <w:tc>
          <w:tcPr>
            <w:tcW w:w="4195" w:type="dxa"/>
            <w:tcBorders>
              <w:top w:val="nil"/>
              <w:left w:val="nil"/>
              <w:bottom w:val="nil"/>
              <w:right w:val="nil"/>
            </w:tcBorders>
          </w:tcPr>
          <w:p w14:paraId="17B8C915" w14:textId="77777777" w:rsidR="00F23EC9" w:rsidRDefault="00D91B65">
            <w:pPr>
              <w:jc w:val="center"/>
              <w:rPr>
                <w:rFonts w:ascii="Times New Roman" w:hAnsi="Times New Roman" w:cs="Times New Roman"/>
                <w:b/>
                <w:bCs/>
                <w:sz w:val="24"/>
                <w:szCs w:val="24"/>
              </w:rPr>
            </w:pPr>
            <w:r>
              <w:rPr>
                <w:rFonts w:ascii="Times New Roman" w:eastAsia="Calibri" w:hAnsi="Times New Roman" w:cs="Times New Roman"/>
                <w:b/>
                <w:bCs/>
                <w:sz w:val="24"/>
                <w:szCs w:val="24"/>
              </w:rPr>
              <w:t>GRAD PREGRADA</w:t>
            </w:r>
          </w:p>
        </w:tc>
      </w:tr>
      <w:tr w:rsidR="00F23EC9" w14:paraId="3B8B2E33" w14:textId="77777777">
        <w:trPr>
          <w:trHeight w:val="291"/>
        </w:trPr>
        <w:tc>
          <w:tcPr>
            <w:tcW w:w="4195" w:type="dxa"/>
            <w:tcBorders>
              <w:top w:val="nil"/>
              <w:left w:val="nil"/>
              <w:bottom w:val="nil"/>
              <w:right w:val="nil"/>
            </w:tcBorders>
          </w:tcPr>
          <w:p w14:paraId="4D9A8272" w14:textId="77777777" w:rsidR="00F23EC9" w:rsidRDefault="00D91B65">
            <w:pPr>
              <w:jc w:val="center"/>
              <w:rPr>
                <w:rFonts w:ascii="Times New Roman" w:hAnsi="Times New Roman" w:cs="Times New Roman"/>
                <w:b/>
                <w:bCs/>
                <w:sz w:val="24"/>
                <w:szCs w:val="24"/>
              </w:rPr>
            </w:pPr>
            <w:r>
              <w:rPr>
                <w:rFonts w:ascii="Times New Roman" w:eastAsia="Calibri" w:hAnsi="Times New Roman" w:cs="Times New Roman"/>
                <w:b/>
                <w:bCs/>
                <w:sz w:val="24"/>
                <w:szCs w:val="24"/>
              </w:rPr>
              <w:t>GRADSKO VIJEĆE</w:t>
            </w:r>
          </w:p>
        </w:tc>
      </w:tr>
    </w:tbl>
    <w:p w14:paraId="65782BBF" w14:textId="77777777" w:rsidR="00F23EC9" w:rsidRDefault="00F23EC9">
      <w:pPr>
        <w:jc w:val="both"/>
        <w:rPr>
          <w:rFonts w:ascii="Times New Roman" w:eastAsia="Times New Roman" w:hAnsi="Times New Roman" w:cs="Times New Roman"/>
          <w:color w:val="000000"/>
          <w:sz w:val="24"/>
          <w:szCs w:val="24"/>
          <w:lang w:eastAsia="hr-HR"/>
        </w:rPr>
      </w:pPr>
    </w:p>
    <w:p w14:paraId="4E333AB1" w14:textId="77777777" w:rsidR="00F23EC9" w:rsidRDefault="00D91B65">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hr-HR"/>
        </w:rPr>
        <w:t xml:space="preserve">KLASA:  363-01/26-01/22 </w:t>
      </w:r>
    </w:p>
    <w:p w14:paraId="1E5F7F41" w14:textId="77777777" w:rsidR="00F23EC9" w:rsidRDefault="00D91B65">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URBROJ: 2140-5-01-26-1</w:t>
      </w:r>
    </w:p>
    <w:p w14:paraId="50A1AA1E" w14:textId="77777777" w:rsidR="00F23EC9" w:rsidRDefault="00D91B65">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Pregrada, ______________</w:t>
      </w:r>
      <w:r>
        <w:rPr>
          <w:rFonts w:ascii="Times New Roman" w:eastAsia="Times New Roman" w:hAnsi="Times New Roman" w:cs="Times New Roman"/>
          <w:color w:val="000000"/>
          <w:sz w:val="24"/>
          <w:szCs w:val="24"/>
          <w:lang w:eastAsia="hr-HR"/>
        </w:rPr>
        <w:t>.</w:t>
      </w:r>
    </w:p>
    <w:p w14:paraId="65082201" w14:textId="77777777" w:rsidR="00F23EC9" w:rsidRDefault="00F23EC9">
      <w:pPr>
        <w:spacing w:after="160"/>
        <w:rPr>
          <w:rFonts w:ascii="Times New Roman" w:eastAsia="Times New Roman" w:hAnsi="Times New Roman" w:cs="Times New Roman"/>
          <w:sz w:val="24"/>
          <w:szCs w:val="24"/>
        </w:rPr>
      </w:pPr>
    </w:p>
    <w:p w14:paraId="040D69CB" w14:textId="77777777" w:rsidR="00F23EC9" w:rsidRDefault="00D91B65">
      <w:pPr>
        <w:spacing w:after="160"/>
        <w:jc w:val="right"/>
        <w:rPr>
          <w:sz w:val="24"/>
          <w:szCs w:val="24"/>
        </w:rPr>
      </w:pPr>
      <w:r>
        <w:rPr>
          <w:rFonts w:ascii="Times New Roman" w:eastAsia="Times New Roman" w:hAnsi="Times New Roman" w:cs="Times New Roman"/>
          <w:sz w:val="24"/>
          <w:szCs w:val="24"/>
        </w:rPr>
        <w:t>-NACRT PRIJEDLOGA</w:t>
      </w:r>
    </w:p>
    <w:p w14:paraId="11A033AA" w14:textId="77777777" w:rsidR="00F23EC9" w:rsidRDefault="00D91B65">
      <w:pPr>
        <w:ind w:firstLine="708"/>
        <w:jc w:val="both"/>
        <w:rPr>
          <w:sz w:val="24"/>
          <w:szCs w:val="24"/>
        </w:rPr>
      </w:pPr>
      <w:r>
        <w:rPr>
          <w:rFonts w:ascii="Times New Roman" w:hAnsi="Times New Roman" w:cs="Times New Roman"/>
          <w:sz w:val="24"/>
          <w:szCs w:val="24"/>
        </w:rPr>
        <w:t xml:space="preserve">Na temelju članka 9. stavka 10.  Zakona o grobljima („Narodne novine“ broj 78/25, 80/25; dalje u tekstu Zakon) i članka </w:t>
      </w:r>
      <w:r>
        <w:rPr>
          <w:rFonts w:ascii="Times New Roman" w:hAnsi="Times New Roman" w:cs="Times New Roman"/>
          <w:spacing w:val="-2"/>
          <w:sz w:val="24"/>
          <w:szCs w:val="24"/>
        </w:rPr>
        <w:t>3</w:t>
      </w:r>
      <w:r>
        <w:rPr>
          <w:rFonts w:ascii="Times New Roman" w:hAnsi="Times New Roman" w:cs="Times New Roman"/>
          <w:spacing w:val="1"/>
          <w:sz w:val="24"/>
          <w:szCs w:val="24"/>
        </w:rPr>
        <w:t>2</w:t>
      </w:r>
      <w:r>
        <w:rPr>
          <w:rFonts w:ascii="Times New Roman" w:hAnsi="Times New Roman" w:cs="Times New Roman"/>
          <w:sz w:val="24"/>
          <w:szCs w:val="24"/>
        </w:rPr>
        <w:t>.</w:t>
      </w:r>
      <w:r>
        <w:rPr>
          <w:rFonts w:ascii="Times New Roman" w:hAnsi="Times New Roman" w:cs="Times New Roman"/>
          <w:spacing w:val="7"/>
          <w:sz w:val="24"/>
          <w:szCs w:val="24"/>
        </w:rPr>
        <w:t xml:space="preserve"> statuta </w:t>
      </w:r>
      <w:r>
        <w:rPr>
          <w:rFonts w:ascii="Times New Roman" w:hAnsi="Times New Roman" w:cs="Times New Roman"/>
          <w:spacing w:val="-3"/>
          <w:sz w:val="24"/>
          <w:szCs w:val="24"/>
        </w:rPr>
        <w:t xml:space="preserve">Grada Pregrade </w:t>
      </w:r>
      <w:r>
        <w:rPr>
          <w:rFonts w:ascii="Times New Roman" w:hAnsi="Times New Roman" w:cs="Times New Roman"/>
          <w:spacing w:val="1"/>
          <w:sz w:val="24"/>
          <w:szCs w:val="24"/>
        </w:rPr>
        <w:t>(„</w:t>
      </w:r>
      <w:r>
        <w:rPr>
          <w:rFonts w:ascii="Times New Roman" w:hAnsi="Times New Roman" w:cs="Times New Roman"/>
          <w:sz w:val="24"/>
          <w:szCs w:val="24"/>
        </w:rPr>
        <w:t>Sl</w:t>
      </w:r>
      <w:r>
        <w:rPr>
          <w:rFonts w:ascii="Times New Roman" w:hAnsi="Times New Roman" w:cs="Times New Roman"/>
          <w:spacing w:val="1"/>
          <w:sz w:val="24"/>
          <w:szCs w:val="24"/>
        </w:rPr>
        <w:t>u</w:t>
      </w:r>
      <w:r>
        <w:rPr>
          <w:rFonts w:ascii="Times New Roman" w:hAnsi="Times New Roman" w:cs="Times New Roman"/>
          <w:sz w:val="24"/>
          <w:szCs w:val="24"/>
        </w:rPr>
        <w:t>ž</w:t>
      </w:r>
      <w:r>
        <w:rPr>
          <w:rFonts w:ascii="Times New Roman" w:hAnsi="Times New Roman" w:cs="Times New Roman"/>
          <w:spacing w:val="-2"/>
          <w:sz w:val="24"/>
          <w:szCs w:val="24"/>
        </w:rPr>
        <w:t>b</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i</w:t>
      </w:r>
      <w:r>
        <w:rPr>
          <w:rFonts w:ascii="Times New Roman" w:hAnsi="Times New Roman" w:cs="Times New Roman"/>
          <w:spacing w:val="15"/>
          <w:sz w:val="24"/>
          <w:szCs w:val="24"/>
        </w:rPr>
        <w:t xml:space="preserve"> </w:t>
      </w:r>
      <w:r>
        <w:rPr>
          <w:rFonts w:ascii="Times New Roman" w:hAnsi="Times New Roman" w:cs="Times New Roman"/>
          <w:spacing w:val="-4"/>
          <w:sz w:val="24"/>
          <w:szCs w:val="24"/>
        </w:rPr>
        <w:t>g</w:t>
      </w:r>
      <w:r>
        <w:rPr>
          <w:rFonts w:ascii="Times New Roman" w:hAnsi="Times New Roman" w:cs="Times New Roman"/>
          <w:spacing w:val="2"/>
          <w:sz w:val="24"/>
          <w:szCs w:val="24"/>
        </w:rPr>
        <w:t>l</w:t>
      </w:r>
      <w:r>
        <w:rPr>
          <w:rFonts w:ascii="Times New Roman" w:hAnsi="Times New Roman" w:cs="Times New Roman"/>
          <w:sz w:val="24"/>
          <w:szCs w:val="24"/>
        </w:rPr>
        <w:t>as</w:t>
      </w:r>
      <w:r>
        <w:rPr>
          <w:rFonts w:ascii="Times New Roman" w:hAnsi="Times New Roman" w:cs="Times New Roman"/>
          <w:spacing w:val="1"/>
          <w:sz w:val="24"/>
          <w:szCs w:val="24"/>
        </w:rPr>
        <w:t>n</w:t>
      </w:r>
      <w:r>
        <w:rPr>
          <w:rFonts w:ascii="Times New Roman" w:hAnsi="Times New Roman" w:cs="Times New Roman"/>
          <w:spacing w:val="2"/>
          <w:sz w:val="24"/>
          <w:szCs w:val="24"/>
        </w:rPr>
        <w:t>i</w:t>
      </w:r>
      <w:r>
        <w:rPr>
          <w:rFonts w:ascii="Times New Roman" w:hAnsi="Times New Roman" w:cs="Times New Roman"/>
          <w:sz w:val="24"/>
          <w:szCs w:val="24"/>
        </w:rPr>
        <w:t>k</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Krapinsko – zagorske županije“</w:t>
      </w:r>
      <w:r>
        <w:rPr>
          <w:rFonts w:ascii="Times New Roman" w:hAnsi="Times New Roman" w:cs="Times New Roman"/>
          <w:sz w:val="24"/>
          <w:szCs w:val="24"/>
        </w:rPr>
        <w:t xml:space="preserve"> </w:t>
      </w:r>
      <w:r>
        <w:rPr>
          <w:rFonts w:ascii="Times New Roman" w:hAnsi="Times New Roman" w:cs="Times New Roman"/>
          <w:spacing w:val="3"/>
          <w:w w:val="101"/>
          <w:sz w:val="24"/>
          <w:szCs w:val="24"/>
        </w:rPr>
        <w:t>b</w:t>
      </w:r>
      <w:r>
        <w:rPr>
          <w:rFonts w:ascii="Times New Roman" w:hAnsi="Times New Roman" w:cs="Times New Roman"/>
          <w:spacing w:val="-1"/>
          <w:w w:val="101"/>
          <w:sz w:val="24"/>
          <w:szCs w:val="24"/>
        </w:rPr>
        <w:t>r</w:t>
      </w:r>
      <w:r>
        <w:rPr>
          <w:rFonts w:ascii="Times New Roman" w:hAnsi="Times New Roman" w:cs="Times New Roman"/>
          <w:spacing w:val="1"/>
          <w:w w:val="101"/>
          <w:sz w:val="24"/>
          <w:szCs w:val="24"/>
        </w:rPr>
        <w:t>o</w:t>
      </w:r>
      <w:r>
        <w:rPr>
          <w:rFonts w:ascii="Times New Roman" w:hAnsi="Times New Roman" w:cs="Times New Roman"/>
          <w:w w:val="101"/>
          <w:sz w:val="24"/>
          <w:szCs w:val="24"/>
        </w:rPr>
        <w:t>j 06/13, 17/13, 7/18, 16/18 - pročišćeni tekst, 5/20, 8/21, 38/22 i 40/23) Gradsko vijeće grada Pregrade na ___. sjednici održanoj _____________.</w:t>
      </w:r>
      <w:r>
        <w:rPr>
          <w:rFonts w:ascii="Times New Roman" w:hAnsi="Times New Roman" w:cs="Times New Roman"/>
          <w:color w:val="EE0000"/>
          <w:w w:val="101"/>
          <w:sz w:val="24"/>
          <w:szCs w:val="24"/>
        </w:rPr>
        <w:t xml:space="preserve"> </w:t>
      </w:r>
      <w:r>
        <w:rPr>
          <w:rFonts w:ascii="Times New Roman" w:hAnsi="Times New Roman" w:cs="Times New Roman"/>
          <w:w w:val="101"/>
          <w:sz w:val="24"/>
          <w:szCs w:val="24"/>
        </w:rPr>
        <w:t>godine donijelo je</w:t>
      </w:r>
    </w:p>
    <w:p w14:paraId="49EACCF6" w14:textId="77777777" w:rsidR="00F23EC9" w:rsidRDefault="00F23EC9">
      <w:pPr>
        <w:ind w:firstLine="708"/>
        <w:jc w:val="both"/>
        <w:rPr>
          <w:rFonts w:ascii="Times New Roman" w:hAnsi="Times New Roman" w:cs="Times New Roman"/>
          <w:sz w:val="24"/>
          <w:szCs w:val="24"/>
        </w:rPr>
      </w:pPr>
    </w:p>
    <w:p w14:paraId="4FC5C8CA" w14:textId="77777777" w:rsidR="00F23EC9" w:rsidRDefault="00D91B65">
      <w:pPr>
        <w:jc w:val="center"/>
        <w:rPr>
          <w:sz w:val="24"/>
          <w:szCs w:val="24"/>
        </w:rPr>
      </w:pPr>
      <w:r>
        <w:rPr>
          <w:rFonts w:ascii="Times New Roman" w:hAnsi="Times New Roman" w:cs="Times New Roman"/>
          <w:b/>
          <w:bCs/>
          <w:sz w:val="24"/>
          <w:szCs w:val="24"/>
        </w:rPr>
        <w:t>ODLUKU O GROBLJIMA NA PODRUČJU GRADA PREGRADE</w:t>
      </w:r>
    </w:p>
    <w:p w14:paraId="71B4DBE6" w14:textId="77777777" w:rsidR="00F23EC9" w:rsidRDefault="00F23EC9">
      <w:pPr>
        <w:jc w:val="both"/>
        <w:rPr>
          <w:rFonts w:ascii="Times New Roman" w:hAnsi="Times New Roman" w:cs="Times New Roman"/>
          <w:sz w:val="24"/>
          <w:szCs w:val="24"/>
        </w:rPr>
      </w:pPr>
    </w:p>
    <w:p w14:paraId="426503AF" w14:textId="77777777" w:rsidR="00F23EC9" w:rsidRDefault="00D91B65">
      <w:pPr>
        <w:pStyle w:val="Odlomakpopisa"/>
        <w:numPr>
          <w:ilvl w:val="0"/>
          <w:numId w:val="1"/>
        </w:numPr>
        <w:jc w:val="both"/>
        <w:rPr>
          <w:sz w:val="24"/>
          <w:szCs w:val="24"/>
        </w:rPr>
      </w:pPr>
      <w:r>
        <w:rPr>
          <w:rFonts w:ascii="Times New Roman" w:hAnsi="Times New Roman"/>
          <w:sz w:val="24"/>
          <w:szCs w:val="24"/>
        </w:rPr>
        <w:t xml:space="preserve">OPĆE </w:t>
      </w:r>
      <w:r>
        <w:rPr>
          <w:rFonts w:ascii="Times New Roman" w:hAnsi="Times New Roman" w:cs="Times New Roman"/>
          <w:sz w:val="24"/>
          <w:szCs w:val="24"/>
        </w:rPr>
        <w:t>ODREDBE</w:t>
      </w:r>
    </w:p>
    <w:p w14:paraId="384B379A" w14:textId="77777777" w:rsidR="00F23EC9" w:rsidRDefault="00D91B65">
      <w:pPr>
        <w:jc w:val="center"/>
        <w:rPr>
          <w:sz w:val="24"/>
          <w:szCs w:val="24"/>
        </w:rPr>
      </w:pPr>
      <w:r>
        <w:rPr>
          <w:rFonts w:ascii="Times New Roman" w:hAnsi="Times New Roman" w:cs="Times New Roman"/>
          <w:sz w:val="24"/>
          <w:szCs w:val="24"/>
        </w:rPr>
        <w:t>Članak 1.</w:t>
      </w:r>
    </w:p>
    <w:p w14:paraId="38A0DF6B" w14:textId="77777777" w:rsidR="00F23EC9" w:rsidRDefault="00D91B65">
      <w:pPr>
        <w:jc w:val="both"/>
        <w:rPr>
          <w:sz w:val="24"/>
          <w:szCs w:val="24"/>
        </w:rPr>
      </w:pPr>
      <w:r>
        <w:rPr>
          <w:rFonts w:ascii="Times New Roman" w:hAnsi="Times New Roman" w:cs="Times New Roman"/>
          <w:sz w:val="24"/>
          <w:szCs w:val="24"/>
        </w:rPr>
        <w:t>Ovom se Odlukom uređuje upravljanje grobljima i obavljanje komunalne djelatnosti održavanja groblja na području grada Pregrade, a osobito:</w:t>
      </w:r>
    </w:p>
    <w:p w14:paraId="0EA7E8DC"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građenje, zatvaranje i stavljanje groblja izvan upotrebe;</w:t>
      </w:r>
    </w:p>
    <w:p w14:paraId="5A9D035B"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način i uvjeti upravljanja grobljima;</w:t>
      </w:r>
    </w:p>
    <w:p w14:paraId="5496A62E"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uvjeti i mjerila za plaćanje naknade kod dodjele grobnih mjesta i godišnja naknada za korištenje grobnih mjesta</w:t>
      </w:r>
    </w:p>
    <w:p w14:paraId="327210AC"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grobni očevidnici</w:t>
      </w:r>
    </w:p>
    <w:p w14:paraId="5CF667C8"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utvrđivanje usklađenosti grobnog mjesta i spomen obilježja</w:t>
      </w:r>
    </w:p>
    <w:p w14:paraId="73F84091"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način ukopa umrlih nepoznatih osoba te umrlih hrvatskih ratnih invalida i hrvatskih branitelja iz Domovinskog rata</w:t>
      </w:r>
    </w:p>
    <w:p w14:paraId="15D1DD82"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održavanje i uređivanje groblja te uklanjanje otpada</w:t>
      </w:r>
    </w:p>
    <w:p w14:paraId="2F2B8E2F"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radovi na groblju</w:t>
      </w:r>
    </w:p>
    <w:p w14:paraId="34FA5F44"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način i uvjeti ukopa pokojnika</w:t>
      </w:r>
    </w:p>
    <w:p w14:paraId="04258468"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iskop (ekshumacija) pokojnika</w:t>
      </w:r>
    </w:p>
    <w:p w14:paraId="2E552EF2"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vremenski razmaci ukopa u popunjena grobna mjesta</w:t>
      </w:r>
    </w:p>
    <w:p w14:paraId="14F6D75A" w14:textId="77777777" w:rsidR="00F23EC9" w:rsidRDefault="00D91B65">
      <w:pPr>
        <w:pStyle w:val="Odlomakpopisa"/>
        <w:numPr>
          <w:ilvl w:val="0"/>
          <w:numId w:val="2"/>
        </w:numPr>
        <w:spacing w:after="0"/>
        <w:jc w:val="both"/>
        <w:rPr>
          <w:sz w:val="24"/>
          <w:szCs w:val="24"/>
        </w:rPr>
      </w:pPr>
      <w:r>
        <w:rPr>
          <w:rFonts w:ascii="Times New Roman" w:hAnsi="Times New Roman" w:cs="Times New Roman"/>
          <w:sz w:val="24"/>
          <w:szCs w:val="24"/>
        </w:rPr>
        <w:t>nadzor i prekršajne odredbe.</w:t>
      </w:r>
    </w:p>
    <w:p w14:paraId="5CB05E93" w14:textId="77777777" w:rsidR="00F23EC9" w:rsidRDefault="00F23EC9">
      <w:pPr>
        <w:jc w:val="both"/>
        <w:rPr>
          <w:rFonts w:ascii="Times New Roman" w:hAnsi="Times New Roman"/>
          <w:sz w:val="24"/>
          <w:szCs w:val="24"/>
        </w:rPr>
      </w:pPr>
    </w:p>
    <w:p w14:paraId="75292728" w14:textId="77777777" w:rsidR="00F23EC9" w:rsidRDefault="00D91B65">
      <w:pPr>
        <w:jc w:val="both"/>
        <w:rPr>
          <w:sz w:val="24"/>
          <w:szCs w:val="24"/>
        </w:rPr>
      </w:pPr>
      <w:r>
        <w:rPr>
          <w:rFonts w:ascii="Times New Roman" w:hAnsi="Times New Roman" w:cs="Times New Roman"/>
          <w:sz w:val="24"/>
          <w:szCs w:val="24"/>
        </w:rPr>
        <w:t>Izrazi koji se koriste u ovoj Odluci, a imaju rodno značenje, koriste se neutralno i odnose se jednako na muški i ženski rod.</w:t>
      </w:r>
    </w:p>
    <w:p w14:paraId="46D0301A" w14:textId="77777777" w:rsidR="00F23EC9" w:rsidRDefault="00D91B65">
      <w:pPr>
        <w:jc w:val="center"/>
        <w:rPr>
          <w:sz w:val="24"/>
          <w:szCs w:val="24"/>
        </w:rPr>
      </w:pPr>
      <w:r>
        <w:rPr>
          <w:rFonts w:ascii="Times New Roman" w:hAnsi="Times New Roman" w:cs="Times New Roman"/>
          <w:sz w:val="24"/>
          <w:szCs w:val="24"/>
        </w:rPr>
        <w:t>Članak 2.</w:t>
      </w:r>
    </w:p>
    <w:p w14:paraId="3BD237FA" w14:textId="77777777" w:rsidR="00F23EC9" w:rsidRDefault="00D91B65">
      <w:pPr>
        <w:jc w:val="both"/>
        <w:rPr>
          <w:sz w:val="24"/>
          <w:szCs w:val="24"/>
        </w:rPr>
      </w:pPr>
      <w:r>
        <w:rPr>
          <w:rFonts w:ascii="Times New Roman" w:hAnsi="Times New Roman" w:cs="Times New Roman"/>
          <w:sz w:val="24"/>
          <w:szCs w:val="24"/>
        </w:rPr>
        <w:t>Na području grada Pregrade postoje mjesna groblja: Pregrada, Kostel, Stipernica i Vinagora.</w:t>
      </w:r>
    </w:p>
    <w:p w14:paraId="0ABA4631" w14:textId="77777777" w:rsidR="00F23EC9" w:rsidRDefault="00D91B65">
      <w:pPr>
        <w:jc w:val="both"/>
        <w:rPr>
          <w:sz w:val="24"/>
          <w:szCs w:val="24"/>
        </w:rPr>
      </w:pPr>
      <w:r>
        <w:rPr>
          <w:rFonts w:ascii="Times New Roman" w:hAnsi="Times New Roman" w:cs="Times New Roman"/>
          <w:sz w:val="24"/>
          <w:szCs w:val="24"/>
        </w:rPr>
        <w:t>Groblje je ograđeni prostor na kojem se nalaze grobna mjesta, komunalna i druga infrastruktura i u pravilu prateće građevine.</w:t>
      </w:r>
    </w:p>
    <w:p w14:paraId="27238D82" w14:textId="77777777" w:rsidR="00F23EC9" w:rsidRDefault="00D91B65">
      <w:pPr>
        <w:jc w:val="both"/>
        <w:rPr>
          <w:sz w:val="24"/>
          <w:szCs w:val="24"/>
        </w:rPr>
      </w:pPr>
      <w:r>
        <w:rPr>
          <w:rFonts w:ascii="Times New Roman" w:hAnsi="Times New Roman" w:cs="Times New Roman"/>
          <w:sz w:val="24"/>
          <w:szCs w:val="24"/>
        </w:rPr>
        <w:lastRenderedPageBreak/>
        <w:t>Prateće građevine se grade unutar groblja odnosno izvan tog prostora ako je to planirano prostornim planom jedinice lokalne samouprave, a to su krematorij, mrtvačnica, dvorana za izlaganje na odru, prostorije za ispraćaj umrlih osoba i slično.</w:t>
      </w:r>
    </w:p>
    <w:p w14:paraId="19F8878D" w14:textId="77777777" w:rsidR="00F23EC9" w:rsidRDefault="00F23EC9">
      <w:pPr>
        <w:jc w:val="both"/>
        <w:rPr>
          <w:rFonts w:ascii="Times New Roman" w:hAnsi="Times New Roman" w:cs="Times New Roman"/>
          <w:sz w:val="24"/>
          <w:szCs w:val="24"/>
        </w:rPr>
      </w:pPr>
    </w:p>
    <w:p w14:paraId="6E74DF19" w14:textId="77777777" w:rsidR="00F23EC9" w:rsidRDefault="00D91B65">
      <w:pPr>
        <w:jc w:val="center"/>
        <w:rPr>
          <w:sz w:val="24"/>
          <w:szCs w:val="24"/>
        </w:rPr>
      </w:pPr>
      <w:r>
        <w:rPr>
          <w:rFonts w:ascii="Times New Roman" w:hAnsi="Times New Roman" w:cs="Times New Roman"/>
          <w:sz w:val="24"/>
          <w:szCs w:val="24"/>
        </w:rPr>
        <w:t>Članak 3.</w:t>
      </w:r>
    </w:p>
    <w:p w14:paraId="149FA8BD" w14:textId="77777777" w:rsidR="00F23EC9" w:rsidRDefault="00D91B65">
      <w:pPr>
        <w:jc w:val="both"/>
        <w:rPr>
          <w:sz w:val="24"/>
          <w:szCs w:val="24"/>
        </w:rPr>
      </w:pPr>
      <w:r>
        <w:rPr>
          <w:rFonts w:ascii="Times New Roman" w:hAnsi="Times New Roman" w:cs="Times New Roman"/>
          <w:sz w:val="24"/>
          <w:szCs w:val="24"/>
        </w:rPr>
        <w:t>Pod grobnim mjestom u smislu ove Odluke smatraju se grobovi, grobnice, kazeta za urne, kolumbarij, mauzolej te svako drugo mjesto u kojem se nalaze posmrtni ostaci ili je namijenjeno za ukapanje ili trajnu pohranu posmrtnih ostataka umrlih osoba.</w:t>
      </w:r>
    </w:p>
    <w:p w14:paraId="4C190871" w14:textId="77777777" w:rsidR="00F23EC9" w:rsidRDefault="00D91B65">
      <w:pPr>
        <w:jc w:val="both"/>
        <w:rPr>
          <w:sz w:val="24"/>
          <w:szCs w:val="24"/>
        </w:rPr>
      </w:pPr>
      <w:r>
        <w:rPr>
          <w:rFonts w:ascii="Times New Roman" w:hAnsi="Times New Roman" w:cs="Times New Roman"/>
          <w:sz w:val="24"/>
          <w:szCs w:val="24"/>
        </w:rPr>
        <w:t>Pod korisnikom grobnog mjesta u smislu ove Odluke smatraju se osobe kojima je grobno mjesto, u skladu sa Zakonom i odredbama ove Odluke, dodijeljeno na korištenje, odnosno ustupljeno, a nakon smrti tih osoba njihovi nasljednici.</w:t>
      </w:r>
    </w:p>
    <w:p w14:paraId="7765B036" w14:textId="77777777" w:rsidR="00F23EC9" w:rsidRDefault="00F23EC9">
      <w:pPr>
        <w:jc w:val="both"/>
        <w:rPr>
          <w:rFonts w:ascii="Times New Roman" w:hAnsi="Times New Roman"/>
          <w:sz w:val="24"/>
          <w:szCs w:val="24"/>
        </w:rPr>
      </w:pPr>
    </w:p>
    <w:p w14:paraId="13260DAB" w14:textId="77777777" w:rsidR="00F23EC9" w:rsidRDefault="00D91B65">
      <w:pPr>
        <w:pStyle w:val="Odlomakpopisa"/>
        <w:numPr>
          <w:ilvl w:val="0"/>
          <w:numId w:val="1"/>
        </w:numPr>
        <w:jc w:val="both"/>
        <w:rPr>
          <w:sz w:val="24"/>
          <w:szCs w:val="24"/>
        </w:rPr>
      </w:pPr>
      <w:r>
        <w:rPr>
          <w:rFonts w:ascii="Times New Roman" w:hAnsi="Times New Roman" w:cs="Times New Roman"/>
          <w:sz w:val="24"/>
          <w:szCs w:val="24"/>
        </w:rPr>
        <w:t>GRAĐENJE, ZATVARANJE I STAVLJANJE GROBLJA IZVAN UPORABE</w:t>
      </w:r>
    </w:p>
    <w:p w14:paraId="35E70AF3" w14:textId="77777777" w:rsidR="00F23EC9" w:rsidRDefault="00D91B65">
      <w:pPr>
        <w:jc w:val="center"/>
        <w:rPr>
          <w:sz w:val="24"/>
          <w:szCs w:val="24"/>
        </w:rPr>
      </w:pPr>
      <w:r>
        <w:rPr>
          <w:rFonts w:ascii="Times New Roman" w:hAnsi="Times New Roman" w:cs="Times New Roman"/>
          <w:sz w:val="24"/>
          <w:szCs w:val="24"/>
        </w:rPr>
        <w:t>Članak 4.</w:t>
      </w:r>
    </w:p>
    <w:p w14:paraId="7B9BDE19" w14:textId="77777777" w:rsidR="00F23EC9" w:rsidRDefault="00D91B65">
      <w:pPr>
        <w:jc w:val="both"/>
        <w:rPr>
          <w:sz w:val="24"/>
          <w:szCs w:val="24"/>
        </w:rPr>
      </w:pPr>
      <w:r>
        <w:rPr>
          <w:rFonts w:ascii="Times New Roman" w:hAnsi="Times New Roman" w:cs="Times New Roman"/>
          <w:sz w:val="24"/>
          <w:szCs w:val="24"/>
        </w:rPr>
        <w:t>Groblje se može staviti izvan uporabe u cijelosti ili samo djelomično.</w:t>
      </w:r>
    </w:p>
    <w:p w14:paraId="25A44C69" w14:textId="77777777" w:rsidR="00F23EC9" w:rsidRDefault="00D91B65">
      <w:pPr>
        <w:jc w:val="both"/>
        <w:rPr>
          <w:sz w:val="24"/>
          <w:szCs w:val="24"/>
        </w:rPr>
      </w:pPr>
      <w:r>
        <w:rPr>
          <w:rFonts w:ascii="Times New Roman" w:hAnsi="Times New Roman" w:cs="Times New Roman"/>
          <w:sz w:val="24"/>
          <w:szCs w:val="24"/>
        </w:rPr>
        <w:t>Izvan uporabe stavlja se groblje ili dio groblja samo iz zakonom određenih razloga.</w:t>
      </w:r>
    </w:p>
    <w:p w14:paraId="2B141E34" w14:textId="77777777" w:rsidR="00F23EC9" w:rsidRDefault="00D91B65">
      <w:pPr>
        <w:jc w:val="both"/>
        <w:rPr>
          <w:sz w:val="24"/>
          <w:szCs w:val="24"/>
        </w:rPr>
      </w:pPr>
      <w:r>
        <w:rPr>
          <w:rFonts w:ascii="Times New Roman" w:hAnsi="Times New Roman" w:cs="Times New Roman"/>
          <w:sz w:val="24"/>
          <w:szCs w:val="24"/>
        </w:rPr>
        <w:t>Odluku iz stavka 1. i 2. ovog članka donosi Gradsko vijeće.</w:t>
      </w:r>
    </w:p>
    <w:p w14:paraId="3DD7845C" w14:textId="77777777" w:rsidR="00F23EC9" w:rsidRDefault="00D91B65">
      <w:pPr>
        <w:jc w:val="both"/>
        <w:rPr>
          <w:sz w:val="24"/>
          <w:szCs w:val="24"/>
        </w:rPr>
      </w:pPr>
      <w:r>
        <w:rPr>
          <w:rFonts w:ascii="Times New Roman" w:hAnsi="Times New Roman" w:cs="Times New Roman"/>
          <w:sz w:val="24"/>
          <w:szCs w:val="24"/>
        </w:rPr>
        <w:t>Premještanje groblja ili dijela groblja moguće je nakon isteka roka od 30 godina od posljednjeg ukopa.</w:t>
      </w:r>
    </w:p>
    <w:p w14:paraId="0FFDA49A" w14:textId="77777777" w:rsidR="00F23EC9" w:rsidRDefault="00D91B65">
      <w:pPr>
        <w:jc w:val="both"/>
        <w:rPr>
          <w:sz w:val="24"/>
          <w:szCs w:val="24"/>
        </w:rPr>
      </w:pPr>
      <w:r>
        <w:rPr>
          <w:rFonts w:ascii="Times New Roman" w:hAnsi="Times New Roman" w:cs="Times New Roman"/>
          <w:sz w:val="24"/>
          <w:szCs w:val="24"/>
        </w:rPr>
        <w:t>Iznimno od stavka 4. ovog članka, kad je to potrebno radi izgradnje građevine ili izvođenja radova u interesu Republike Hrvatske, odlukom predstavničkog tijela jedinice lokalne samouprave groblje se može premjestiti nakon isteka roka od deset godina od posljednjeg ukopa, pod uvjetima utvrđenim propisima kojima se uređuje zaštita pučanstva od zaraznih bolesti.</w:t>
      </w:r>
    </w:p>
    <w:p w14:paraId="10A05FFF" w14:textId="77777777" w:rsidR="00F23EC9" w:rsidRDefault="00F23EC9">
      <w:pPr>
        <w:jc w:val="both"/>
        <w:rPr>
          <w:rFonts w:cs="Times New Roman"/>
          <w:sz w:val="24"/>
          <w:szCs w:val="24"/>
        </w:rPr>
      </w:pPr>
    </w:p>
    <w:p w14:paraId="738F6804" w14:textId="77777777" w:rsidR="00F23EC9" w:rsidRDefault="00D91B65">
      <w:pPr>
        <w:pStyle w:val="Odlomakpopisa"/>
        <w:numPr>
          <w:ilvl w:val="0"/>
          <w:numId w:val="1"/>
        </w:numPr>
        <w:jc w:val="both"/>
        <w:rPr>
          <w:sz w:val="24"/>
          <w:szCs w:val="24"/>
        </w:rPr>
      </w:pPr>
      <w:r>
        <w:rPr>
          <w:rFonts w:ascii="Times New Roman" w:hAnsi="Times New Roman" w:cs="Times New Roman"/>
          <w:sz w:val="24"/>
          <w:szCs w:val="24"/>
        </w:rPr>
        <w:t>NAČIN I UVJETI UPRAVLJANJA GROBLJIMA</w:t>
      </w:r>
    </w:p>
    <w:p w14:paraId="5F964C00" w14:textId="77777777" w:rsidR="00F23EC9" w:rsidRDefault="00D91B65">
      <w:pPr>
        <w:jc w:val="center"/>
        <w:rPr>
          <w:sz w:val="24"/>
          <w:szCs w:val="24"/>
        </w:rPr>
      </w:pPr>
      <w:r>
        <w:rPr>
          <w:rFonts w:ascii="Times New Roman" w:hAnsi="Times New Roman" w:cs="Times New Roman"/>
          <w:sz w:val="24"/>
          <w:szCs w:val="24"/>
        </w:rPr>
        <w:t>Članak 5.</w:t>
      </w:r>
    </w:p>
    <w:p w14:paraId="23EE813B" w14:textId="77777777" w:rsidR="00F23EC9" w:rsidRDefault="00D91B65">
      <w:pPr>
        <w:jc w:val="both"/>
        <w:rPr>
          <w:sz w:val="24"/>
          <w:szCs w:val="24"/>
        </w:rPr>
      </w:pPr>
      <w:r>
        <w:rPr>
          <w:rFonts w:ascii="Times New Roman" w:hAnsi="Times New Roman" w:cs="Times New Roman"/>
          <w:sz w:val="24"/>
          <w:szCs w:val="24"/>
        </w:rPr>
        <w:t>Grobljima na području grada Pregrade upravlja trgovačko društvo Niskogradnja d.o.o., Stjepana Radića 17, Pregrada, OIB: 23210692018, koje je u vlasništvu Grada Pregrade (u daljnjem tekstu: Upravitelj).</w:t>
      </w:r>
    </w:p>
    <w:p w14:paraId="0FE0771F" w14:textId="77777777" w:rsidR="00F23EC9" w:rsidRDefault="00D91B65">
      <w:pPr>
        <w:jc w:val="center"/>
        <w:rPr>
          <w:sz w:val="24"/>
          <w:szCs w:val="24"/>
        </w:rPr>
      </w:pPr>
      <w:r>
        <w:rPr>
          <w:rFonts w:ascii="Times New Roman" w:hAnsi="Times New Roman" w:cs="Times New Roman"/>
          <w:sz w:val="24"/>
          <w:szCs w:val="24"/>
        </w:rPr>
        <w:t>Članak 6.</w:t>
      </w:r>
    </w:p>
    <w:p w14:paraId="3146AD10" w14:textId="77777777" w:rsidR="00F23EC9" w:rsidRDefault="00D91B65">
      <w:pPr>
        <w:jc w:val="both"/>
        <w:rPr>
          <w:sz w:val="24"/>
          <w:szCs w:val="24"/>
        </w:rPr>
      </w:pPr>
      <w:r>
        <w:rPr>
          <w:rFonts w:ascii="Times New Roman" w:hAnsi="Times New Roman" w:cs="Times New Roman"/>
          <w:sz w:val="24"/>
          <w:szCs w:val="24"/>
        </w:rPr>
        <w:t>Pod upravljanjem grobljima podrazumijeva se dodjela grobnih mjesta, uređenje, održavanje i rekonstrukcija groblja (promjena površine, razmještaj putova i slično) na način koji odgovara tehničkim i sanitarnim uvjetima, uz posebno uvažavanje brige o zaštiti okoliša, a osobito krajobraznim i estetskim vrijednostima.</w:t>
      </w:r>
    </w:p>
    <w:p w14:paraId="7F6A1F9E" w14:textId="77777777" w:rsidR="00F23EC9" w:rsidRDefault="00D91B65">
      <w:pPr>
        <w:jc w:val="both"/>
        <w:rPr>
          <w:sz w:val="24"/>
          <w:szCs w:val="24"/>
        </w:rPr>
      </w:pPr>
      <w:r>
        <w:rPr>
          <w:rFonts w:ascii="Times New Roman" w:hAnsi="Times New Roman" w:cs="Times New Roman"/>
          <w:sz w:val="24"/>
          <w:szCs w:val="24"/>
        </w:rPr>
        <w:t>Osim navedenih poslova, pod upravljanjem grobljem podrazumijevaju se i:</w:t>
      </w:r>
    </w:p>
    <w:p w14:paraId="254BE451" w14:textId="77777777" w:rsidR="00F23EC9" w:rsidRDefault="00D91B65">
      <w:pPr>
        <w:jc w:val="both"/>
        <w:rPr>
          <w:sz w:val="24"/>
          <w:szCs w:val="24"/>
        </w:rPr>
      </w:pPr>
      <w:r>
        <w:rPr>
          <w:rFonts w:ascii="Times New Roman" w:hAnsi="Times New Roman" w:cs="Times New Roman"/>
          <w:sz w:val="24"/>
          <w:szCs w:val="24"/>
        </w:rPr>
        <w:t>– poslovi naplaćivanja naknade za dodijeljeno grobno mjesto i naknade za korištenje grobnog mjesta,</w:t>
      </w:r>
    </w:p>
    <w:p w14:paraId="6B82AAE6" w14:textId="77777777" w:rsidR="00F23EC9" w:rsidRDefault="00D91B65">
      <w:pPr>
        <w:jc w:val="both"/>
        <w:rPr>
          <w:sz w:val="24"/>
          <w:szCs w:val="24"/>
        </w:rPr>
      </w:pPr>
      <w:r>
        <w:rPr>
          <w:rFonts w:ascii="Times New Roman" w:hAnsi="Times New Roman" w:cs="Times New Roman"/>
          <w:sz w:val="24"/>
          <w:szCs w:val="24"/>
        </w:rPr>
        <w:t>– poslovi vođenja grobnih očevidnika i registra umrlih osoba,</w:t>
      </w:r>
    </w:p>
    <w:p w14:paraId="0EE33198" w14:textId="77777777" w:rsidR="00F23EC9" w:rsidRDefault="00D91B65">
      <w:pPr>
        <w:jc w:val="both"/>
        <w:rPr>
          <w:sz w:val="24"/>
          <w:szCs w:val="24"/>
        </w:rPr>
      </w:pPr>
      <w:r>
        <w:rPr>
          <w:rFonts w:ascii="Times New Roman" w:hAnsi="Times New Roman" w:cs="Times New Roman"/>
          <w:sz w:val="24"/>
          <w:szCs w:val="24"/>
        </w:rPr>
        <w:t>– drugi poslovi propisani Zakonom i ovom Odlukom.</w:t>
      </w:r>
    </w:p>
    <w:p w14:paraId="3CF24765" w14:textId="77777777" w:rsidR="00F23EC9" w:rsidRDefault="00D91B65">
      <w:pPr>
        <w:jc w:val="both"/>
        <w:rPr>
          <w:sz w:val="24"/>
          <w:szCs w:val="24"/>
        </w:rPr>
      </w:pPr>
      <w:r>
        <w:rPr>
          <w:rFonts w:ascii="Times New Roman" w:hAnsi="Times New Roman" w:cs="Times New Roman"/>
          <w:sz w:val="24"/>
          <w:szCs w:val="24"/>
        </w:rPr>
        <w:t>Održavanje groblja podrazumijeva održavanje prostora i zgrada za obavljanje ispraćaja umrlih osoba i ukopa tijela umrlih osoba te uređivanje putova, zelenih i drugih površina unutar groblja te predstavlja komunalnu djelatnost u nadležnosti jedinica lokalne samouprave.</w:t>
      </w:r>
    </w:p>
    <w:p w14:paraId="35A9C9DB" w14:textId="77777777" w:rsidR="00F23EC9" w:rsidRDefault="00F23EC9">
      <w:pPr>
        <w:jc w:val="both"/>
        <w:rPr>
          <w:rFonts w:cs="Times New Roman"/>
          <w:sz w:val="24"/>
          <w:szCs w:val="24"/>
        </w:rPr>
      </w:pPr>
    </w:p>
    <w:p w14:paraId="4DB19A12" w14:textId="77777777" w:rsidR="00F23EC9" w:rsidRDefault="00D91B65">
      <w:pPr>
        <w:jc w:val="center"/>
        <w:rPr>
          <w:sz w:val="24"/>
          <w:szCs w:val="24"/>
        </w:rPr>
      </w:pPr>
      <w:r>
        <w:rPr>
          <w:rFonts w:ascii="Times New Roman" w:hAnsi="Times New Roman" w:cs="Times New Roman"/>
          <w:sz w:val="24"/>
          <w:szCs w:val="24"/>
        </w:rPr>
        <w:t>Članak 7.</w:t>
      </w:r>
    </w:p>
    <w:p w14:paraId="31707144" w14:textId="77777777" w:rsidR="00F23EC9" w:rsidRDefault="00D91B65">
      <w:pPr>
        <w:jc w:val="both"/>
        <w:rPr>
          <w:sz w:val="24"/>
          <w:szCs w:val="24"/>
        </w:rPr>
      </w:pPr>
      <w:r>
        <w:rPr>
          <w:rFonts w:ascii="Times New Roman" w:hAnsi="Times New Roman" w:cs="Times New Roman"/>
          <w:sz w:val="24"/>
          <w:szCs w:val="24"/>
        </w:rPr>
        <w:t>Upravitelj groblja obvezan je:</w:t>
      </w:r>
    </w:p>
    <w:p w14:paraId="41B6178B" w14:textId="77777777" w:rsidR="00F23EC9" w:rsidRDefault="00D91B65">
      <w:pPr>
        <w:jc w:val="both"/>
        <w:rPr>
          <w:sz w:val="24"/>
          <w:szCs w:val="24"/>
        </w:rPr>
      </w:pPr>
      <w:r>
        <w:rPr>
          <w:rFonts w:ascii="Times New Roman" w:hAnsi="Times New Roman" w:cs="Times New Roman"/>
          <w:sz w:val="24"/>
          <w:szCs w:val="24"/>
        </w:rPr>
        <w:t>1. upravljati grobljem pažnjom dobrog gospodara</w:t>
      </w:r>
    </w:p>
    <w:p w14:paraId="01B2012C" w14:textId="77777777" w:rsidR="00F23EC9" w:rsidRDefault="00D91B65">
      <w:pPr>
        <w:jc w:val="both"/>
        <w:rPr>
          <w:sz w:val="24"/>
          <w:szCs w:val="24"/>
        </w:rPr>
      </w:pPr>
      <w:r>
        <w:rPr>
          <w:rFonts w:ascii="Times New Roman" w:hAnsi="Times New Roman" w:cs="Times New Roman"/>
          <w:sz w:val="24"/>
          <w:szCs w:val="24"/>
        </w:rPr>
        <w:t>2. osigurati uređenje i održavanje groblja tako da se ne narušava pijetet prema umrlim osobama</w:t>
      </w:r>
    </w:p>
    <w:p w14:paraId="24E3A803" w14:textId="77777777" w:rsidR="00F23EC9" w:rsidRDefault="00D91B65">
      <w:pPr>
        <w:jc w:val="both"/>
        <w:rPr>
          <w:sz w:val="24"/>
          <w:szCs w:val="24"/>
        </w:rPr>
      </w:pPr>
      <w:r>
        <w:rPr>
          <w:rFonts w:ascii="Times New Roman" w:hAnsi="Times New Roman" w:cs="Times New Roman"/>
          <w:sz w:val="24"/>
          <w:szCs w:val="24"/>
        </w:rPr>
        <w:lastRenderedPageBreak/>
        <w:t>3. osigurati odgovarajući broj slobodnih grobnih mjesta za potrebe redovitog ukopa umrlih osoba na području grada Pregrade</w:t>
      </w:r>
    </w:p>
    <w:p w14:paraId="4CB14951" w14:textId="77777777" w:rsidR="00F23EC9" w:rsidRDefault="00D91B65">
      <w:pPr>
        <w:jc w:val="both"/>
        <w:rPr>
          <w:sz w:val="24"/>
          <w:szCs w:val="24"/>
        </w:rPr>
      </w:pPr>
      <w:r>
        <w:rPr>
          <w:rFonts w:ascii="Times New Roman" w:hAnsi="Times New Roman" w:cs="Times New Roman"/>
          <w:sz w:val="24"/>
          <w:szCs w:val="24"/>
        </w:rPr>
        <w:t>4. osigurati opće polje za ukop nepoznatih osoba te dijelove groblja odnosno aleju za ukop i davanje na korištenje odgovarajućih grobnih mjesta hrvatskim ratnim vojnim invalidima i hrvatskim braniteljima sukladno posebnom propisu kojim se utvrđuju prava hrvatskih branitelja iz Domovinskog rata</w:t>
      </w:r>
    </w:p>
    <w:p w14:paraId="48568B2E" w14:textId="77777777" w:rsidR="00F23EC9" w:rsidRDefault="00D91B65">
      <w:pPr>
        <w:jc w:val="both"/>
        <w:rPr>
          <w:sz w:val="24"/>
          <w:szCs w:val="24"/>
        </w:rPr>
      </w:pPr>
      <w:r>
        <w:rPr>
          <w:rFonts w:ascii="Times New Roman" w:hAnsi="Times New Roman" w:cs="Times New Roman"/>
          <w:sz w:val="24"/>
          <w:szCs w:val="24"/>
        </w:rPr>
        <w:t>5. pravovremeno poduzimati odgovarajuće mjere u svezi s potrebom povećanja potrebnih grobnih mjesta</w:t>
      </w:r>
    </w:p>
    <w:p w14:paraId="3B264CFC" w14:textId="77777777" w:rsidR="00F23EC9" w:rsidRDefault="00D91B65">
      <w:pPr>
        <w:jc w:val="both"/>
        <w:rPr>
          <w:sz w:val="24"/>
          <w:szCs w:val="24"/>
        </w:rPr>
      </w:pPr>
      <w:r>
        <w:rPr>
          <w:rFonts w:ascii="Times New Roman" w:hAnsi="Times New Roman" w:cs="Times New Roman"/>
          <w:sz w:val="24"/>
          <w:szCs w:val="24"/>
        </w:rPr>
        <w:t>6. za svako groblje voditi grobni očevidnik čiji je dio položajni plan grobnih mjesta i grobnica, i registar umrlih osoba.</w:t>
      </w:r>
    </w:p>
    <w:p w14:paraId="47644141" w14:textId="77777777" w:rsidR="00F23EC9" w:rsidRDefault="00D91B65">
      <w:pPr>
        <w:jc w:val="center"/>
        <w:rPr>
          <w:sz w:val="24"/>
          <w:szCs w:val="24"/>
        </w:rPr>
      </w:pPr>
      <w:r>
        <w:rPr>
          <w:rFonts w:ascii="Times New Roman" w:hAnsi="Times New Roman" w:cs="Times New Roman"/>
          <w:sz w:val="24"/>
          <w:szCs w:val="24"/>
        </w:rPr>
        <w:t>Članak 8.</w:t>
      </w:r>
    </w:p>
    <w:p w14:paraId="6C282F0E" w14:textId="77777777" w:rsidR="00F23EC9" w:rsidRDefault="00D91B65">
      <w:pPr>
        <w:jc w:val="both"/>
        <w:rPr>
          <w:sz w:val="24"/>
          <w:szCs w:val="24"/>
        </w:rPr>
      </w:pPr>
      <w:r>
        <w:rPr>
          <w:rFonts w:ascii="Times New Roman" w:hAnsi="Times New Roman" w:cs="Times New Roman"/>
          <w:sz w:val="24"/>
          <w:szCs w:val="24"/>
        </w:rPr>
        <w:t>Grobljem se upravlja na način kojim se iskazuje poštovanje prema umrlim osobama koje na njemu počivaju.</w:t>
      </w:r>
    </w:p>
    <w:p w14:paraId="5CA2211F" w14:textId="77777777" w:rsidR="00F23EC9" w:rsidRDefault="00D91B65">
      <w:pPr>
        <w:jc w:val="both"/>
        <w:rPr>
          <w:sz w:val="24"/>
          <w:szCs w:val="24"/>
        </w:rPr>
      </w:pPr>
      <w:r>
        <w:rPr>
          <w:rFonts w:ascii="Times New Roman" w:hAnsi="Times New Roman" w:cs="Times New Roman"/>
          <w:sz w:val="24"/>
          <w:szCs w:val="24"/>
        </w:rPr>
        <w:t>Grobljem se upravlja na način koji odgovara tehničkim i sanitarnim uvjetima, pri čemu treba voditi računa o zaštiti okoliša, osobito o krajobraznim i estetskim vrijednostima područja na kojem se groblje nalazi.</w:t>
      </w:r>
    </w:p>
    <w:p w14:paraId="52DD97F9" w14:textId="77777777" w:rsidR="00F23EC9" w:rsidRDefault="00D91B65">
      <w:pPr>
        <w:jc w:val="both"/>
        <w:rPr>
          <w:sz w:val="24"/>
          <w:szCs w:val="24"/>
        </w:rPr>
      </w:pPr>
      <w:r>
        <w:rPr>
          <w:rFonts w:ascii="Times New Roman" w:hAnsi="Times New Roman" w:cs="Times New Roman"/>
          <w:sz w:val="24"/>
          <w:szCs w:val="24"/>
        </w:rPr>
        <w:t>Upravitelj groblja donosi odluku o ponašanju na groblju u kojoj se određuje radno vrijeme groblja i vrijeme ukopa, načini i primjereno vrijeme za obavljanje radova na groblju te pravila ponašanje na groblju koja vrijede za korisnike grobnih mjesta i posjetitelje.</w:t>
      </w:r>
    </w:p>
    <w:p w14:paraId="1A1C1303" w14:textId="77777777" w:rsidR="00F23EC9" w:rsidRDefault="00D91B65">
      <w:pPr>
        <w:jc w:val="both"/>
        <w:rPr>
          <w:sz w:val="24"/>
          <w:szCs w:val="24"/>
        </w:rPr>
      </w:pPr>
      <w:r>
        <w:rPr>
          <w:rFonts w:ascii="Times New Roman" w:hAnsi="Times New Roman" w:cs="Times New Roman"/>
          <w:sz w:val="24"/>
          <w:szCs w:val="24"/>
        </w:rPr>
        <w:t>Upravitelj groblja obvezan je obavijestiti nadležnu policijsku upravu ako ima saznanja o okupljanju unutar groblja koje je protivno odredbama zakona kojima se uređuju prekršaji protiv javnog reda i mira.</w:t>
      </w:r>
    </w:p>
    <w:p w14:paraId="42120E9D" w14:textId="77777777" w:rsidR="00F23EC9" w:rsidRDefault="00D91B65">
      <w:pPr>
        <w:jc w:val="center"/>
        <w:rPr>
          <w:sz w:val="24"/>
          <w:szCs w:val="24"/>
        </w:rPr>
      </w:pPr>
      <w:r>
        <w:rPr>
          <w:rFonts w:ascii="Times New Roman" w:hAnsi="Times New Roman" w:cs="Times New Roman"/>
          <w:sz w:val="24"/>
          <w:szCs w:val="24"/>
        </w:rPr>
        <w:t>Članak 9.</w:t>
      </w:r>
    </w:p>
    <w:p w14:paraId="49C78389" w14:textId="77777777" w:rsidR="00F23EC9" w:rsidRDefault="00D91B65">
      <w:pPr>
        <w:pStyle w:val="Tijeloteksta"/>
        <w:spacing w:line="240" w:lineRule="auto"/>
        <w:jc w:val="both"/>
        <w:rPr>
          <w:sz w:val="24"/>
          <w:szCs w:val="24"/>
        </w:rPr>
      </w:pPr>
      <w:r>
        <w:rPr>
          <w:rFonts w:ascii="Times New Roman" w:hAnsi="Times New Roman"/>
          <w:sz w:val="24"/>
          <w:szCs w:val="24"/>
        </w:rPr>
        <w:t>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jedinica lokalne samouprave.</w:t>
      </w:r>
    </w:p>
    <w:p w14:paraId="060E0B32" w14:textId="77777777" w:rsidR="00F23EC9" w:rsidRDefault="00D91B65">
      <w:pPr>
        <w:pStyle w:val="Tijeloteksta"/>
        <w:spacing w:line="240" w:lineRule="auto"/>
        <w:jc w:val="both"/>
        <w:rPr>
          <w:sz w:val="24"/>
          <w:szCs w:val="24"/>
        </w:rPr>
      </w:pPr>
      <w:r>
        <w:rPr>
          <w:rFonts w:ascii="Times New Roman" w:hAnsi="Times New Roman"/>
          <w:sz w:val="24"/>
          <w:szCs w:val="24"/>
        </w:rPr>
        <w:t>Odluku o lokalno značajnoj osobi iz ovoga članka donosi predstavničko tijelo jedinice lokalne samouprave.</w:t>
      </w:r>
    </w:p>
    <w:p w14:paraId="63D02A45" w14:textId="77777777" w:rsidR="00F23EC9" w:rsidRDefault="00D91B65">
      <w:pPr>
        <w:pStyle w:val="Tijeloteksta"/>
        <w:spacing w:after="108" w:line="240" w:lineRule="auto"/>
        <w:jc w:val="both"/>
        <w:rPr>
          <w:sz w:val="24"/>
          <w:szCs w:val="24"/>
        </w:rPr>
      </w:pPr>
      <w:r>
        <w:rPr>
          <w:rFonts w:ascii="Times New Roman" w:hAnsi="Times New Roman"/>
          <w:sz w:val="24"/>
          <w:szCs w:val="24"/>
        </w:rPr>
        <w:t>Odluku o proglašenju znamenite povijesne osobe iz ovoga članka, uz prethodno pribavljeno mišljenje Hrvatske akademije znanosti i umjetnosti i Hrvatskog instituta za povijest, donosi predstavničko tijelo jedinice lokalne samouprave.</w:t>
      </w:r>
    </w:p>
    <w:p w14:paraId="43F2803E" w14:textId="77777777" w:rsidR="00F23EC9" w:rsidRDefault="00D91B65">
      <w:pPr>
        <w:jc w:val="center"/>
        <w:rPr>
          <w:sz w:val="24"/>
          <w:szCs w:val="24"/>
        </w:rPr>
      </w:pPr>
      <w:r>
        <w:rPr>
          <w:rFonts w:ascii="Times New Roman" w:hAnsi="Times New Roman" w:cs="Times New Roman"/>
          <w:sz w:val="24"/>
          <w:szCs w:val="24"/>
        </w:rPr>
        <w:t>Članak 10.</w:t>
      </w:r>
    </w:p>
    <w:p w14:paraId="492EA8EF" w14:textId="2235F436" w:rsidR="00F23EC9" w:rsidRDefault="00D91B65">
      <w:pPr>
        <w:jc w:val="both"/>
        <w:rPr>
          <w:sz w:val="24"/>
          <w:szCs w:val="24"/>
        </w:rPr>
      </w:pPr>
      <w:r>
        <w:rPr>
          <w:rFonts w:ascii="Times New Roman" w:hAnsi="Times New Roman" w:cs="Times New Roman"/>
          <w:sz w:val="24"/>
          <w:szCs w:val="24"/>
        </w:rPr>
        <w:t>Osim obveznih podataka o imenu i prezimenu umrle osobe te godini rođenja i smrti, na nadgrobnoj ploči ili spomen</w:t>
      </w:r>
      <w:r>
        <w:rPr>
          <w:rFonts w:ascii="Times New Roman" w:hAnsi="Times New Roman" w:cs="Times New Roman"/>
          <w:sz w:val="24"/>
          <w:szCs w:val="24"/>
        </w:rPr>
        <w:t>-</w:t>
      </w:r>
      <w:r>
        <w:rPr>
          <w:rFonts w:ascii="Times New Roman" w:hAnsi="Times New Roman" w:cs="Times New Roman"/>
          <w:sz w:val="24"/>
          <w:szCs w:val="24"/>
        </w:rPr>
        <w:t>obilježju ili uz njega mogu biti istaknuti odnosno postavljeni podaci o osobama koje podižu nadgrobnu ploču ili spomen</w:t>
      </w:r>
      <w:r>
        <w:rPr>
          <w:rFonts w:ascii="Times New Roman" w:hAnsi="Times New Roman" w:cs="Times New Roman"/>
          <w:sz w:val="24"/>
          <w:szCs w:val="24"/>
        </w:rPr>
        <w:t>-</w:t>
      </w:r>
      <w:r>
        <w:rPr>
          <w:rFonts w:ascii="Times New Roman" w:hAnsi="Times New Roman" w:cs="Times New Roman"/>
          <w:sz w:val="24"/>
          <w:szCs w:val="24"/>
        </w:rPr>
        <w:t>obilježje te, po slobodnom odabiru korisnika grobnih mjesta tekstualni nadgrobni natpisi, simboli i druga uobičajena grobna obilježja koja pripadaju grobnoj ikonografiji i simbolici lokalne sredine, određenog naroda ili vjerske zajednice, ili su univerzalnog značaja.</w:t>
      </w:r>
    </w:p>
    <w:p w14:paraId="1E13AD92" w14:textId="77777777" w:rsidR="00F23EC9" w:rsidRDefault="00F23EC9">
      <w:pPr>
        <w:jc w:val="both"/>
        <w:rPr>
          <w:rFonts w:cs="Times New Roman"/>
          <w:sz w:val="24"/>
          <w:szCs w:val="24"/>
        </w:rPr>
      </w:pPr>
    </w:p>
    <w:p w14:paraId="73F67E39" w14:textId="77777777" w:rsidR="00F23EC9" w:rsidRDefault="00D91B65">
      <w:pPr>
        <w:jc w:val="center"/>
        <w:rPr>
          <w:sz w:val="24"/>
          <w:szCs w:val="24"/>
        </w:rPr>
      </w:pPr>
      <w:r>
        <w:rPr>
          <w:rFonts w:ascii="Times New Roman" w:hAnsi="Times New Roman" w:cs="Times New Roman"/>
          <w:sz w:val="24"/>
          <w:szCs w:val="24"/>
        </w:rPr>
        <w:t>Članak 11.</w:t>
      </w:r>
    </w:p>
    <w:p w14:paraId="525535C9" w14:textId="77777777" w:rsidR="00F23EC9" w:rsidRDefault="00D91B65">
      <w:pPr>
        <w:jc w:val="both"/>
        <w:rPr>
          <w:sz w:val="24"/>
          <w:szCs w:val="24"/>
        </w:rPr>
      </w:pPr>
      <w:r>
        <w:rPr>
          <w:rFonts w:ascii="Times New Roman" w:hAnsi="Times New Roman" w:cs="Times New Roman"/>
          <w:sz w:val="24"/>
          <w:szCs w:val="24"/>
        </w:rPr>
        <w:t>Upravitelj ne odgovara za štete nastale na grobljima, grobnim mjestima i slično koje prouzrokuju treće i nepoznate osobe (krađe, vandalizam, izvođenje radova u blizini grobnih mjesta i slično), ali je o nastalim štetama dužan obavijestiti nadležna tijela.</w:t>
      </w:r>
    </w:p>
    <w:p w14:paraId="29FD3B35" w14:textId="77777777" w:rsidR="00F23EC9" w:rsidRDefault="00F23EC9">
      <w:pPr>
        <w:jc w:val="both"/>
        <w:rPr>
          <w:sz w:val="24"/>
          <w:szCs w:val="24"/>
        </w:rPr>
      </w:pPr>
    </w:p>
    <w:p w14:paraId="72D53C43" w14:textId="77777777" w:rsidR="00F23EC9" w:rsidRDefault="00D91B65">
      <w:pPr>
        <w:jc w:val="center"/>
        <w:rPr>
          <w:sz w:val="24"/>
          <w:szCs w:val="24"/>
        </w:rPr>
      </w:pPr>
      <w:r>
        <w:rPr>
          <w:rFonts w:ascii="Times New Roman" w:hAnsi="Times New Roman" w:cs="Times New Roman"/>
          <w:sz w:val="24"/>
          <w:szCs w:val="24"/>
        </w:rPr>
        <w:t>Članak 12.</w:t>
      </w:r>
    </w:p>
    <w:p w14:paraId="7975D8A3" w14:textId="77777777" w:rsidR="00F23EC9" w:rsidRDefault="00D91B65">
      <w:pPr>
        <w:jc w:val="both"/>
        <w:rPr>
          <w:sz w:val="24"/>
          <w:szCs w:val="24"/>
        </w:rPr>
      </w:pPr>
      <w:r>
        <w:rPr>
          <w:rFonts w:ascii="Times New Roman" w:hAnsi="Times New Roman" w:cs="Times New Roman"/>
          <w:sz w:val="24"/>
          <w:szCs w:val="24"/>
        </w:rPr>
        <w:t>Umrla osoba ne smije se ukopati bez dozvole za ukop izdane u skladu s posebnim propisima.</w:t>
      </w:r>
    </w:p>
    <w:p w14:paraId="3904E09F" w14:textId="77777777" w:rsidR="00F23EC9" w:rsidRDefault="00F23EC9">
      <w:pPr>
        <w:jc w:val="both"/>
        <w:rPr>
          <w:rFonts w:ascii="Times New Roman" w:hAnsi="Times New Roman"/>
          <w:sz w:val="24"/>
          <w:szCs w:val="24"/>
        </w:rPr>
      </w:pPr>
    </w:p>
    <w:p w14:paraId="0B2A13E6" w14:textId="77777777" w:rsidR="00F23EC9" w:rsidRDefault="00D91B65">
      <w:pPr>
        <w:pStyle w:val="Odlomakpopisa"/>
        <w:numPr>
          <w:ilvl w:val="0"/>
          <w:numId w:val="1"/>
        </w:numPr>
        <w:spacing w:after="0"/>
        <w:jc w:val="both"/>
        <w:rPr>
          <w:sz w:val="24"/>
          <w:szCs w:val="24"/>
        </w:rPr>
      </w:pPr>
      <w:r>
        <w:rPr>
          <w:rFonts w:ascii="Times New Roman" w:hAnsi="Times New Roman" w:cs="Times New Roman"/>
          <w:sz w:val="24"/>
          <w:szCs w:val="24"/>
        </w:rPr>
        <w:lastRenderedPageBreak/>
        <w:t xml:space="preserve">UVJETI I MJERILA ZA PLAĆANJE NAKNADE KOD DODJELE GROBNIH MJESTA I GODIŠNJA NAKNADA ZA KORIŠTENJE GROBNIH MJESTA </w:t>
      </w:r>
    </w:p>
    <w:p w14:paraId="684A13C0" w14:textId="77777777" w:rsidR="00F23EC9" w:rsidRDefault="00F23EC9">
      <w:pPr>
        <w:jc w:val="both"/>
        <w:rPr>
          <w:rFonts w:ascii="Times New Roman" w:hAnsi="Times New Roman" w:cs="Times New Roman"/>
          <w:sz w:val="24"/>
          <w:szCs w:val="24"/>
        </w:rPr>
      </w:pPr>
    </w:p>
    <w:p w14:paraId="7CE4AB9A" w14:textId="77777777" w:rsidR="00F23EC9" w:rsidRDefault="00D91B65">
      <w:pPr>
        <w:jc w:val="center"/>
        <w:rPr>
          <w:sz w:val="24"/>
          <w:szCs w:val="24"/>
        </w:rPr>
      </w:pPr>
      <w:r>
        <w:rPr>
          <w:rFonts w:ascii="Times New Roman" w:hAnsi="Times New Roman" w:cs="Times New Roman"/>
          <w:sz w:val="24"/>
          <w:szCs w:val="24"/>
        </w:rPr>
        <w:t>Članak 13.</w:t>
      </w:r>
    </w:p>
    <w:p w14:paraId="6B9820A3" w14:textId="77777777" w:rsidR="00F23EC9" w:rsidRDefault="00D91B65">
      <w:pPr>
        <w:jc w:val="both"/>
        <w:rPr>
          <w:sz w:val="24"/>
          <w:szCs w:val="24"/>
        </w:rPr>
      </w:pPr>
      <w:r>
        <w:rPr>
          <w:rFonts w:ascii="Times New Roman" w:hAnsi="Times New Roman" w:cs="Times New Roman"/>
          <w:sz w:val="24"/>
          <w:szCs w:val="24"/>
        </w:rPr>
        <w:t>Pravo korištenja grobnog mjesta predmet je nasljeđivanja.</w:t>
      </w:r>
    </w:p>
    <w:p w14:paraId="46290A6C" w14:textId="77777777" w:rsidR="00F23EC9" w:rsidRDefault="00D91B65">
      <w:pPr>
        <w:jc w:val="both"/>
        <w:rPr>
          <w:sz w:val="24"/>
          <w:szCs w:val="24"/>
        </w:rPr>
      </w:pPr>
      <w:r>
        <w:rPr>
          <w:rFonts w:ascii="Times New Roman" w:hAnsi="Times New Roman" w:cs="Times New Roman"/>
          <w:sz w:val="24"/>
          <w:szCs w:val="24"/>
        </w:rPr>
        <w:t>Pravomoćno rješenje o nasljeđivanju prava korištenja grobnog mjesta sud odnosno javni bilježnik kao povjerenik suda, po službenoj dužnosti, dostavlja Upravitelju groblja.</w:t>
      </w:r>
    </w:p>
    <w:p w14:paraId="2F8198CB" w14:textId="77777777" w:rsidR="00F23EC9" w:rsidRDefault="00D91B65">
      <w:pPr>
        <w:jc w:val="both"/>
        <w:rPr>
          <w:sz w:val="24"/>
          <w:szCs w:val="24"/>
        </w:rPr>
      </w:pPr>
      <w:r>
        <w:rPr>
          <w:rFonts w:ascii="Times New Roman" w:hAnsi="Times New Roman" w:cs="Times New Roman"/>
          <w:sz w:val="24"/>
          <w:szCs w:val="24"/>
        </w:rPr>
        <w:t>Korisnik grobnog mjesta može svoje pravo korištenja grobnog mjesta ugovorom ustupiti trećim osobama. Takav ugovor mora biti sklopljen u pisanom obliku, uz obveznu ovjeru potpisa od strane javnog bilježnika.</w:t>
      </w:r>
    </w:p>
    <w:p w14:paraId="19CF6922" w14:textId="77777777" w:rsidR="00F23EC9" w:rsidRDefault="00D91B65">
      <w:pPr>
        <w:jc w:val="both"/>
        <w:rPr>
          <w:sz w:val="24"/>
          <w:szCs w:val="24"/>
        </w:rPr>
      </w:pPr>
      <w:r>
        <w:rPr>
          <w:rFonts w:ascii="Times New Roman" w:hAnsi="Times New Roman" w:cs="Times New Roman"/>
          <w:sz w:val="24"/>
          <w:szCs w:val="24"/>
        </w:rPr>
        <w:t>Ugovor o stupanju prava korištenja grobnog mjesta javni bilježnik dostavlja Upravitelju groblja radi upisa novog korisnika grobnog mjesta u grobni očevidnik.</w:t>
      </w:r>
    </w:p>
    <w:p w14:paraId="4500F878" w14:textId="77777777" w:rsidR="00F23EC9" w:rsidRDefault="00D91B65">
      <w:pPr>
        <w:jc w:val="both"/>
        <w:rPr>
          <w:sz w:val="24"/>
          <w:szCs w:val="24"/>
        </w:rPr>
      </w:pPr>
      <w:r>
        <w:rPr>
          <w:rFonts w:ascii="Times New Roman" w:hAnsi="Times New Roman" w:cs="Times New Roman"/>
          <w:sz w:val="24"/>
          <w:szCs w:val="24"/>
        </w:rPr>
        <w:t>Upravitelj groblja će, nakon što mu javni bilježnik dostavi rješenje o nasljeđivanju ili ugovor o ustupu grobnog mjesta, rješenjem utvrditi novog korisnika grobnog mjesta i upisati ga u grobni očevidnik.</w:t>
      </w:r>
    </w:p>
    <w:p w14:paraId="5148F97F" w14:textId="77777777" w:rsidR="00F23EC9" w:rsidRDefault="00D91B65">
      <w:pPr>
        <w:jc w:val="center"/>
        <w:rPr>
          <w:sz w:val="24"/>
          <w:szCs w:val="24"/>
        </w:rPr>
      </w:pPr>
      <w:r>
        <w:rPr>
          <w:rFonts w:ascii="Times New Roman" w:hAnsi="Times New Roman" w:cs="Times New Roman"/>
          <w:sz w:val="24"/>
          <w:szCs w:val="24"/>
        </w:rPr>
        <w:t>Članak 14.</w:t>
      </w:r>
    </w:p>
    <w:p w14:paraId="7798582C" w14:textId="77777777" w:rsidR="00F23EC9" w:rsidRDefault="00D91B65">
      <w:pPr>
        <w:jc w:val="both"/>
        <w:rPr>
          <w:sz w:val="24"/>
          <w:szCs w:val="24"/>
        </w:rPr>
      </w:pPr>
      <w:r>
        <w:rPr>
          <w:rFonts w:ascii="Times New Roman" w:hAnsi="Times New Roman" w:cs="Times New Roman"/>
          <w:sz w:val="24"/>
          <w:szCs w:val="24"/>
        </w:rPr>
        <w:t>Na grobljima iz članka 2. ove Odluke ukapaju se, u pravilu, umrli koji su imali prebivalište na području grada Pregrade.</w:t>
      </w:r>
    </w:p>
    <w:p w14:paraId="2A7B846D" w14:textId="77777777" w:rsidR="00F23EC9" w:rsidRDefault="00D91B65">
      <w:pPr>
        <w:jc w:val="both"/>
        <w:rPr>
          <w:sz w:val="24"/>
          <w:szCs w:val="24"/>
        </w:rPr>
      </w:pPr>
      <w:r>
        <w:rPr>
          <w:rFonts w:ascii="Times New Roman" w:hAnsi="Times New Roman" w:cs="Times New Roman"/>
          <w:sz w:val="24"/>
          <w:szCs w:val="24"/>
        </w:rPr>
        <w:t>Pravo ukopa u grobno mjesto ima korisnik grobnog mjesta i članovi njegove obitelji, osim ako korisnik grobnog mjesta ne odredi drugačije.</w:t>
      </w:r>
    </w:p>
    <w:p w14:paraId="5F940790" w14:textId="41BAF788" w:rsidR="00F23EC9" w:rsidRDefault="00D91B65">
      <w:pPr>
        <w:jc w:val="both"/>
        <w:rPr>
          <w:sz w:val="24"/>
          <w:szCs w:val="24"/>
        </w:rPr>
      </w:pPr>
      <w:r>
        <w:rPr>
          <w:rFonts w:ascii="Times New Roman" w:hAnsi="Times New Roman" w:cs="Times New Roman"/>
          <w:sz w:val="24"/>
          <w:szCs w:val="24"/>
        </w:rPr>
        <w:t xml:space="preserve">Članom obitelji korisnika grobnog mjesta koji ima pravo ukopa smatra se njegov bračni ili izvanbračni drug, životni ili neformalni životni partner, potomci i posvojena djeca i njihov bračni </w:t>
      </w:r>
      <w:r w:rsidR="007A5BDC">
        <w:rPr>
          <w:rFonts w:ascii="Times New Roman" w:hAnsi="Times New Roman" w:cs="Times New Roman"/>
          <w:sz w:val="24"/>
          <w:szCs w:val="24"/>
        </w:rPr>
        <w:t>i</w:t>
      </w:r>
      <w:r>
        <w:rPr>
          <w:rFonts w:ascii="Times New Roman" w:hAnsi="Times New Roman" w:cs="Times New Roman"/>
          <w:sz w:val="24"/>
          <w:szCs w:val="24"/>
        </w:rPr>
        <w:t>li izvanbračni drug</w:t>
      </w:r>
      <w:r w:rsidR="007A5BDC">
        <w:rPr>
          <w:rFonts w:ascii="Times New Roman" w:hAnsi="Times New Roman" w:cs="Times New Roman"/>
          <w:sz w:val="24"/>
          <w:szCs w:val="24"/>
        </w:rPr>
        <w:t xml:space="preserve"> </w:t>
      </w:r>
      <w:r>
        <w:rPr>
          <w:rFonts w:ascii="Times New Roman" w:hAnsi="Times New Roman" w:cs="Times New Roman"/>
          <w:sz w:val="24"/>
          <w:szCs w:val="24"/>
        </w:rPr>
        <w:t>te njegovi roditelji.</w:t>
      </w:r>
    </w:p>
    <w:p w14:paraId="4CF30178" w14:textId="77777777" w:rsidR="00F23EC9" w:rsidRDefault="00D91B65">
      <w:pPr>
        <w:jc w:val="both"/>
        <w:rPr>
          <w:sz w:val="24"/>
          <w:szCs w:val="24"/>
        </w:rPr>
      </w:pPr>
      <w:r>
        <w:rPr>
          <w:rFonts w:ascii="Times New Roman" w:hAnsi="Times New Roman" w:cs="Times New Roman"/>
          <w:sz w:val="24"/>
          <w:szCs w:val="24"/>
        </w:rPr>
        <w:t>Korisnik grobnog mjesta može dati i pravo ukopa i drugim osobama, a korisnik grobnog mjesta koji je dao pravo ukopa može to pravo i povući do trenutka smrti osobe kojoj je pravo dano, o čemu je dužan obavijestiti osobu kojoj je dao pravo ukopa.</w:t>
      </w:r>
    </w:p>
    <w:p w14:paraId="218C307D" w14:textId="77777777" w:rsidR="00F23EC9" w:rsidRDefault="00D91B65">
      <w:pPr>
        <w:jc w:val="both"/>
        <w:rPr>
          <w:sz w:val="24"/>
          <w:szCs w:val="24"/>
        </w:rPr>
      </w:pPr>
      <w:r>
        <w:rPr>
          <w:rFonts w:ascii="Times New Roman" w:hAnsi="Times New Roman" w:cs="Times New Roman"/>
          <w:sz w:val="24"/>
          <w:szCs w:val="24"/>
        </w:rPr>
        <w:t>Osoba kojoj je korisnik grobnog mjesta dao pravo ukopa ne može prenijeti pravo ukopa na treću osobu.</w:t>
      </w:r>
    </w:p>
    <w:p w14:paraId="1A2CE15C" w14:textId="77777777" w:rsidR="00F23EC9" w:rsidRDefault="00D91B65">
      <w:pPr>
        <w:jc w:val="both"/>
        <w:rPr>
          <w:sz w:val="24"/>
          <w:szCs w:val="24"/>
        </w:rPr>
      </w:pPr>
      <w:r>
        <w:rPr>
          <w:rFonts w:ascii="Times New Roman" w:hAnsi="Times New Roman" w:cs="Times New Roman"/>
          <w:sz w:val="24"/>
          <w:szCs w:val="24"/>
        </w:rPr>
        <w:t>Pravo ukopa i povlačenje danog prava ukopa daje se u pisanom obliku i korisnik grobnog mjesta dužan ga je dostaviti upravitelju groblja koji činjenicu o tome upisuje u grobni očevidnik.</w:t>
      </w:r>
    </w:p>
    <w:p w14:paraId="46CE57DE" w14:textId="77777777" w:rsidR="00F23EC9" w:rsidRDefault="00D91B65">
      <w:pPr>
        <w:jc w:val="both"/>
        <w:rPr>
          <w:sz w:val="24"/>
          <w:szCs w:val="24"/>
        </w:rPr>
      </w:pPr>
      <w:r>
        <w:rPr>
          <w:rFonts w:ascii="Times New Roman" w:hAnsi="Times New Roman" w:cs="Times New Roman"/>
          <w:sz w:val="24"/>
          <w:szCs w:val="24"/>
        </w:rPr>
        <w:t>Prestanak prava ukopa iz prethodnog članka može se upisati u grobni očevidnik na temelju izjave korisnika grobnog mjesta o povlačenju prava ukopa, na temelju sporazuma, odluke suda ili pisane izjave osobe koja je stekla pravo ukopa.</w:t>
      </w:r>
    </w:p>
    <w:p w14:paraId="750DCA7E" w14:textId="77777777" w:rsidR="00F23EC9" w:rsidRDefault="00D91B65">
      <w:pPr>
        <w:jc w:val="both"/>
        <w:rPr>
          <w:sz w:val="24"/>
          <w:szCs w:val="24"/>
        </w:rPr>
      </w:pPr>
      <w:r>
        <w:rPr>
          <w:rFonts w:ascii="Times New Roman" w:hAnsi="Times New Roman" w:cs="Times New Roman"/>
          <w:sz w:val="24"/>
          <w:szCs w:val="24"/>
        </w:rPr>
        <w:t>Ako pravo korištenja ima više korisnika grobnog mjesta, za stjecanje prava ukopa iz stavka 4. ovog članka i za obilježavanje ili uređivanje grobnog mjesta potrebna je suglasnost svih korisnika.</w:t>
      </w:r>
    </w:p>
    <w:p w14:paraId="2D1E44BA" w14:textId="77777777" w:rsidR="00F23EC9" w:rsidRDefault="00D91B65">
      <w:pPr>
        <w:jc w:val="both"/>
        <w:rPr>
          <w:sz w:val="24"/>
          <w:szCs w:val="24"/>
        </w:rPr>
      </w:pPr>
      <w:r>
        <w:rPr>
          <w:rFonts w:ascii="Times New Roman" w:hAnsi="Times New Roman" w:cs="Times New Roman"/>
          <w:sz w:val="24"/>
          <w:szCs w:val="24"/>
        </w:rPr>
        <w:t>Nakon smrti korisnika grobnog mjesta do upisa njegovih nasljednika odnosno novog korisnika grobnog mjesta u grobno mjesto mogu se ukapati:</w:t>
      </w:r>
    </w:p>
    <w:p w14:paraId="7D3F5E45" w14:textId="77777777" w:rsidR="00F23EC9" w:rsidRDefault="00D91B65">
      <w:pPr>
        <w:jc w:val="both"/>
        <w:rPr>
          <w:sz w:val="24"/>
          <w:szCs w:val="24"/>
        </w:rPr>
      </w:pPr>
      <w:r>
        <w:rPr>
          <w:rFonts w:ascii="Times New Roman" w:hAnsi="Times New Roman" w:cs="Times New Roman"/>
          <w:sz w:val="24"/>
          <w:szCs w:val="24"/>
        </w:rPr>
        <w:t xml:space="preserve">- osobe kojima je korisnik grobnog mjesta dao pravo ukopa u njegovo grobno mjesto </w:t>
      </w:r>
    </w:p>
    <w:p w14:paraId="031080F2" w14:textId="77777777" w:rsidR="00F23EC9" w:rsidRDefault="00D91B65">
      <w:pPr>
        <w:jc w:val="both"/>
        <w:rPr>
          <w:sz w:val="24"/>
          <w:szCs w:val="24"/>
        </w:rPr>
      </w:pPr>
      <w:r>
        <w:rPr>
          <w:rFonts w:ascii="Times New Roman" w:hAnsi="Times New Roman" w:cs="Times New Roman"/>
          <w:sz w:val="24"/>
          <w:szCs w:val="24"/>
        </w:rPr>
        <w:t>- osobe koje su u trenutku smrti korisnika grobnog mjesta bile članovi njegove obitelji sukladno stavku 2. i 3. ovog članka i osobe koje bi se smatrale članovima obitelji korisnika grobnog mjesta da je on živ, osim onih osoba koje je korisnik grobnog mjesta za života isključio.</w:t>
      </w:r>
    </w:p>
    <w:p w14:paraId="2B2F6B67" w14:textId="77777777" w:rsidR="00F23EC9" w:rsidRDefault="00D91B65">
      <w:pPr>
        <w:jc w:val="both"/>
        <w:rPr>
          <w:sz w:val="24"/>
          <w:szCs w:val="24"/>
        </w:rPr>
      </w:pPr>
      <w:r>
        <w:rPr>
          <w:rFonts w:ascii="Times New Roman" w:hAnsi="Times New Roman" w:cs="Times New Roman"/>
          <w:sz w:val="24"/>
          <w:szCs w:val="24"/>
        </w:rPr>
        <w:t>Iznimno, na grobljima na području grada Pregrade mogu se ukapati i drugi pokojnici ako su tako odredili za života ili ako tako odredi njegova obitelj, odnosno osobe koje su dužne skrbiti o njegovu ukopu. Obitelj pokojnika odnosno osobe koje su dužne skrbiti o ukopu pokojnika mogu odrediti da se pokojnik ukopa na groblju na području grada Pregrade, uz uvjet da je barem jedan član obitelji odnosno osoba koja se dužna skrbiti o ukopu pokojnika korisnik grobnog mjesta sukladno odredbama ove Odluke.</w:t>
      </w:r>
    </w:p>
    <w:p w14:paraId="55381DB2" w14:textId="77777777" w:rsidR="00F23EC9" w:rsidRDefault="00F23EC9">
      <w:pPr>
        <w:jc w:val="both"/>
        <w:rPr>
          <w:rFonts w:cs="Times New Roman"/>
          <w:sz w:val="24"/>
          <w:szCs w:val="24"/>
        </w:rPr>
      </w:pPr>
    </w:p>
    <w:p w14:paraId="64D806E2" w14:textId="77777777" w:rsidR="00F23EC9" w:rsidRDefault="00D91B65">
      <w:pPr>
        <w:jc w:val="center"/>
        <w:rPr>
          <w:sz w:val="24"/>
          <w:szCs w:val="24"/>
        </w:rPr>
      </w:pPr>
      <w:r>
        <w:rPr>
          <w:rFonts w:ascii="Times New Roman" w:hAnsi="Times New Roman" w:cs="Times New Roman"/>
          <w:sz w:val="24"/>
          <w:szCs w:val="24"/>
        </w:rPr>
        <w:t>Članak 15.</w:t>
      </w:r>
    </w:p>
    <w:p w14:paraId="4E8D0868" w14:textId="77777777" w:rsidR="00F23EC9" w:rsidRDefault="00D91B65">
      <w:pPr>
        <w:jc w:val="both"/>
        <w:rPr>
          <w:sz w:val="24"/>
          <w:szCs w:val="24"/>
        </w:rPr>
      </w:pPr>
      <w:r>
        <w:rPr>
          <w:rFonts w:ascii="Times New Roman" w:hAnsi="Times New Roman" w:cs="Times New Roman"/>
          <w:sz w:val="24"/>
          <w:szCs w:val="24"/>
        </w:rPr>
        <w:t>Upravitelj, na temelju dokumentiranog zahtjeva stranke, dodjeljuje grobno mjesto na korištenje na neodređeno vrijeme uz naknadu, o čemu donosi rješenje.</w:t>
      </w:r>
    </w:p>
    <w:p w14:paraId="138864BC" w14:textId="77777777" w:rsidR="00F23EC9" w:rsidRDefault="00D91B65">
      <w:pPr>
        <w:jc w:val="both"/>
        <w:rPr>
          <w:sz w:val="24"/>
          <w:szCs w:val="24"/>
        </w:rPr>
      </w:pPr>
      <w:r>
        <w:rPr>
          <w:rFonts w:ascii="Times New Roman" w:hAnsi="Times New Roman" w:cs="Times New Roman"/>
          <w:sz w:val="24"/>
          <w:szCs w:val="24"/>
        </w:rPr>
        <w:t>Zahtjev iz stavka 1. ovoga članka ovlaštena je podnijeti stranka koja u trenutku podnošenja zahtjeva ima u pravilu prijavljeno prebivalište odnosno sjedište na području Grada.</w:t>
      </w:r>
    </w:p>
    <w:p w14:paraId="728D49CC" w14:textId="77777777" w:rsidR="00F23EC9" w:rsidRDefault="00D91B65">
      <w:pPr>
        <w:jc w:val="both"/>
        <w:rPr>
          <w:sz w:val="24"/>
          <w:szCs w:val="24"/>
        </w:rPr>
      </w:pPr>
      <w:r>
        <w:rPr>
          <w:rFonts w:ascii="Times New Roman" w:hAnsi="Times New Roman" w:cs="Times New Roman"/>
          <w:sz w:val="24"/>
          <w:szCs w:val="24"/>
        </w:rPr>
        <w:t>Rješenje o dodjeli grobnog mjesta na korištenje donosi se kod svake promjene korisnika grobnog mjesta.</w:t>
      </w:r>
    </w:p>
    <w:p w14:paraId="31551E95" w14:textId="77777777" w:rsidR="00F23EC9" w:rsidRDefault="00D91B65">
      <w:pPr>
        <w:jc w:val="both"/>
        <w:rPr>
          <w:sz w:val="24"/>
          <w:szCs w:val="24"/>
        </w:rPr>
      </w:pPr>
      <w:r>
        <w:rPr>
          <w:rFonts w:ascii="Times New Roman" w:hAnsi="Times New Roman" w:cs="Times New Roman"/>
          <w:sz w:val="24"/>
          <w:szCs w:val="24"/>
        </w:rPr>
        <w:t>Protiv rješenja iz stavaka 1. i 3. ovoga članka može se izjaviti žalba Upravnom odjelu za komunalne poslove Grada.</w:t>
      </w:r>
    </w:p>
    <w:p w14:paraId="2982FD31" w14:textId="77777777" w:rsidR="00F23EC9" w:rsidRDefault="00D91B65">
      <w:pPr>
        <w:jc w:val="center"/>
        <w:rPr>
          <w:sz w:val="24"/>
          <w:szCs w:val="24"/>
        </w:rPr>
      </w:pPr>
      <w:r>
        <w:rPr>
          <w:rFonts w:ascii="Times New Roman" w:hAnsi="Times New Roman" w:cs="Times New Roman"/>
          <w:sz w:val="24"/>
          <w:szCs w:val="24"/>
        </w:rPr>
        <w:t>Članak 16.</w:t>
      </w:r>
    </w:p>
    <w:p w14:paraId="21380A15" w14:textId="77777777" w:rsidR="00F23EC9" w:rsidRDefault="00D91B65">
      <w:pPr>
        <w:jc w:val="both"/>
        <w:rPr>
          <w:sz w:val="24"/>
          <w:szCs w:val="24"/>
        </w:rPr>
      </w:pPr>
      <w:r>
        <w:rPr>
          <w:rFonts w:ascii="Times New Roman" w:hAnsi="Times New Roman" w:cs="Times New Roman"/>
          <w:sz w:val="24"/>
          <w:szCs w:val="24"/>
        </w:rPr>
        <w:t>Grobno mjesto daje se na korištenje na neodređeno vrijeme, uz plaćanje odgovarajuće naknade za dodjelu grobnog mjesta.</w:t>
      </w:r>
    </w:p>
    <w:p w14:paraId="7DE793D4" w14:textId="77777777" w:rsidR="00F23EC9" w:rsidRDefault="00D91B65">
      <w:pPr>
        <w:jc w:val="both"/>
        <w:rPr>
          <w:sz w:val="24"/>
          <w:szCs w:val="24"/>
        </w:rPr>
      </w:pPr>
      <w:r>
        <w:rPr>
          <w:rFonts w:ascii="Times New Roman" w:hAnsi="Times New Roman" w:cs="Times New Roman"/>
          <w:sz w:val="24"/>
          <w:szCs w:val="24"/>
        </w:rPr>
        <w:t>Naknada za dodjelu grobnog mjesta na korištenje plaća se prilikom dodjele grobnog mjesta na korištenje i utvrđuje se rješenjem o dodjeli grobnog mjesta.</w:t>
      </w:r>
    </w:p>
    <w:p w14:paraId="381F21CE" w14:textId="77777777" w:rsidR="00F23EC9" w:rsidRDefault="00D91B65">
      <w:pPr>
        <w:jc w:val="both"/>
        <w:rPr>
          <w:sz w:val="24"/>
          <w:szCs w:val="24"/>
        </w:rPr>
      </w:pPr>
      <w:r>
        <w:rPr>
          <w:rFonts w:ascii="Times New Roman" w:hAnsi="Times New Roman" w:cs="Times New Roman"/>
          <w:sz w:val="24"/>
          <w:szCs w:val="24"/>
        </w:rPr>
        <w:t>Naknada za dodjelu grobnog mjesta na korištenje određuje se ovisno o vrijednosti lokacije groblja te opremljenosti groblja komunalnom infrastrukturom.</w:t>
      </w:r>
    </w:p>
    <w:p w14:paraId="1D60A3FF" w14:textId="77777777" w:rsidR="00F23EC9" w:rsidRDefault="00D91B65">
      <w:pPr>
        <w:jc w:val="both"/>
        <w:rPr>
          <w:sz w:val="24"/>
          <w:szCs w:val="24"/>
        </w:rPr>
      </w:pPr>
      <w:r>
        <w:rPr>
          <w:rFonts w:ascii="Times New Roman" w:hAnsi="Times New Roman" w:cs="Times New Roman"/>
          <w:sz w:val="24"/>
          <w:szCs w:val="24"/>
        </w:rPr>
        <w:t>Vrijednost lokacije groblja utvrđuje se u iznosu od 212,36 EUR s PDV-om po grobnom mjestu.</w:t>
      </w:r>
    </w:p>
    <w:p w14:paraId="1F801E0B" w14:textId="77777777" w:rsidR="00F23EC9" w:rsidRDefault="00D91B65">
      <w:pPr>
        <w:jc w:val="both"/>
        <w:rPr>
          <w:sz w:val="24"/>
          <w:szCs w:val="24"/>
        </w:rPr>
      </w:pPr>
      <w:r>
        <w:rPr>
          <w:rFonts w:ascii="Times New Roman" w:hAnsi="Times New Roman" w:cs="Times New Roman"/>
          <w:sz w:val="24"/>
          <w:szCs w:val="24"/>
        </w:rPr>
        <w:t>Iznos iz stavka 4. ovoga članka dobiven je na temelju kalkulacije primjenjive na sva groblja pod upravom Upravitelja groblja, a koja uključuje sve troškove održavanja groblja.</w:t>
      </w:r>
    </w:p>
    <w:p w14:paraId="110D4C83" w14:textId="3CB6F4D2" w:rsidR="00F23EC9" w:rsidRDefault="00D91B65">
      <w:pPr>
        <w:jc w:val="both"/>
        <w:rPr>
          <w:sz w:val="24"/>
          <w:szCs w:val="24"/>
        </w:rPr>
      </w:pPr>
      <w:r>
        <w:rPr>
          <w:rFonts w:ascii="Times New Roman" w:hAnsi="Times New Roman" w:cs="Times New Roman"/>
          <w:sz w:val="24"/>
          <w:szCs w:val="24"/>
        </w:rPr>
        <w:t>Koeficijent opremljenost</w:t>
      </w:r>
      <w:r w:rsidR="007A5BDC">
        <w:rPr>
          <w:rFonts w:ascii="Times New Roman" w:hAnsi="Times New Roman" w:cs="Times New Roman"/>
          <w:sz w:val="24"/>
          <w:szCs w:val="24"/>
        </w:rPr>
        <w:t>i</w:t>
      </w:r>
      <w:r>
        <w:rPr>
          <w:rFonts w:ascii="Times New Roman" w:hAnsi="Times New Roman" w:cs="Times New Roman"/>
          <w:sz w:val="24"/>
          <w:szCs w:val="24"/>
        </w:rPr>
        <w:t xml:space="preserve"> groblja utvrđuje se ovisno o opremljenosti groblja komunalnom infrastrukturom, kako slijedi:</w:t>
      </w:r>
    </w:p>
    <w:tbl>
      <w:tblPr>
        <w:tblStyle w:val="Reetkatablice"/>
        <w:tblW w:w="9062" w:type="dxa"/>
        <w:jc w:val="center"/>
        <w:tblLayout w:type="fixed"/>
        <w:tblLook w:val="04A0" w:firstRow="1" w:lastRow="0" w:firstColumn="1" w:lastColumn="0" w:noHBand="0" w:noVBand="1"/>
      </w:tblPr>
      <w:tblGrid>
        <w:gridCol w:w="5133"/>
        <w:gridCol w:w="3929"/>
      </w:tblGrid>
      <w:tr w:rsidR="00F23EC9" w14:paraId="3F9F843F" w14:textId="77777777">
        <w:trPr>
          <w:jc w:val="center"/>
        </w:trPr>
        <w:tc>
          <w:tcPr>
            <w:tcW w:w="5132" w:type="dxa"/>
          </w:tcPr>
          <w:p w14:paraId="463D0020" w14:textId="77777777" w:rsidR="00F23EC9" w:rsidRDefault="00D91B65">
            <w:pPr>
              <w:jc w:val="both"/>
              <w:rPr>
                <w:sz w:val="24"/>
                <w:szCs w:val="24"/>
              </w:rPr>
            </w:pPr>
            <w:r>
              <w:rPr>
                <w:rFonts w:ascii="Times New Roman" w:eastAsia="Calibri" w:hAnsi="Times New Roman" w:cs="Times New Roman"/>
                <w:b/>
                <w:bCs/>
                <w:sz w:val="24"/>
                <w:szCs w:val="24"/>
              </w:rPr>
              <w:t>GROBLJE</w:t>
            </w:r>
          </w:p>
        </w:tc>
        <w:tc>
          <w:tcPr>
            <w:tcW w:w="3929" w:type="dxa"/>
          </w:tcPr>
          <w:p w14:paraId="2D3AB0DB" w14:textId="77777777" w:rsidR="00F23EC9" w:rsidRDefault="00D91B65">
            <w:pPr>
              <w:jc w:val="both"/>
              <w:rPr>
                <w:sz w:val="24"/>
                <w:szCs w:val="24"/>
              </w:rPr>
            </w:pPr>
            <w:r>
              <w:rPr>
                <w:rFonts w:ascii="Times New Roman" w:eastAsia="Calibri" w:hAnsi="Times New Roman" w:cs="Times New Roman"/>
                <w:b/>
                <w:bCs/>
                <w:sz w:val="24"/>
                <w:szCs w:val="24"/>
              </w:rPr>
              <w:t>KOEFICIJENT OPREMLJENOSTI</w:t>
            </w:r>
          </w:p>
        </w:tc>
      </w:tr>
      <w:tr w:rsidR="00F23EC9" w14:paraId="27A825F0" w14:textId="77777777">
        <w:trPr>
          <w:jc w:val="center"/>
        </w:trPr>
        <w:tc>
          <w:tcPr>
            <w:tcW w:w="5132" w:type="dxa"/>
          </w:tcPr>
          <w:p w14:paraId="65A131B0" w14:textId="77777777" w:rsidR="00F23EC9" w:rsidRDefault="00D91B65">
            <w:pPr>
              <w:jc w:val="both"/>
              <w:rPr>
                <w:sz w:val="24"/>
                <w:szCs w:val="24"/>
              </w:rPr>
            </w:pPr>
            <w:r>
              <w:rPr>
                <w:rFonts w:ascii="Times New Roman" w:eastAsia="Calibri" w:hAnsi="Times New Roman" w:cs="Times New Roman"/>
                <w:b/>
                <w:bCs/>
                <w:sz w:val="24"/>
                <w:szCs w:val="24"/>
              </w:rPr>
              <w:t>PREGRADA</w:t>
            </w:r>
          </w:p>
        </w:tc>
        <w:tc>
          <w:tcPr>
            <w:tcW w:w="3929" w:type="dxa"/>
          </w:tcPr>
          <w:p w14:paraId="73FC0DBE" w14:textId="77777777" w:rsidR="00F23EC9" w:rsidRDefault="00F23EC9">
            <w:pPr>
              <w:jc w:val="both"/>
              <w:rPr>
                <w:rFonts w:ascii="Times New Roman" w:hAnsi="Times New Roman" w:cs="Times New Roman"/>
                <w:sz w:val="24"/>
                <w:szCs w:val="24"/>
              </w:rPr>
            </w:pPr>
          </w:p>
        </w:tc>
      </w:tr>
      <w:tr w:rsidR="00F23EC9" w14:paraId="72E48F84" w14:textId="77777777">
        <w:trPr>
          <w:jc w:val="center"/>
        </w:trPr>
        <w:tc>
          <w:tcPr>
            <w:tcW w:w="5132" w:type="dxa"/>
          </w:tcPr>
          <w:p w14:paraId="78C44206" w14:textId="77777777" w:rsidR="00F23EC9" w:rsidRDefault="00D91B65">
            <w:pPr>
              <w:jc w:val="both"/>
              <w:rPr>
                <w:sz w:val="24"/>
                <w:szCs w:val="24"/>
              </w:rPr>
            </w:pPr>
            <w:r>
              <w:rPr>
                <w:rFonts w:ascii="Times New Roman" w:eastAsia="Calibri" w:hAnsi="Times New Roman" w:cs="Times New Roman"/>
                <w:sz w:val="24"/>
                <w:szCs w:val="24"/>
              </w:rPr>
              <w:t>Pregrada, polje 1 – 4 grobno mjesto</w:t>
            </w:r>
          </w:p>
        </w:tc>
        <w:tc>
          <w:tcPr>
            <w:tcW w:w="3929" w:type="dxa"/>
          </w:tcPr>
          <w:p w14:paraId="1C25D838" w14:textId="77777777" w:rsidR="00F23EC9" w:rsidRDefault="00D91B65">
            <w:pPr>
              <w:jc w:val="both"/>
              <w:rPr>
                <w:sz w:val="24"/>
                <w:szCs w:val="24"/>
              </w:rPr>
            </w:pPr>
            <w:r>
              <w:rPr>
                <w:rFonts w:ascii="Times New Roman" w:eastAsia="Calibri" w:hAnsi="Times New Roman" w:cs="Times New Roman"/>
                <w:sz w:val="24"/>
                <w:szCs w:val="24"/>
              </w:rPr>
              <w:t>1,00</w:t>
            </w:r>
          </w:p>
        </w:tc>
      </w:tr>
      <w:tr w:rsidR="00F23EC9" w14:paraId="79EA99A1" w14:textId="77777777">
        <w:trPr>
          <w:jc w:val="center"/>
        </w:trPr>
        <w:tc>
          <w:tcPr>
            <w:tcW w:w="5132" w:type="dxa"/>
          </w:tcPr>
          <w:p w14:paraId="4562BD7A" w14:textId="77777777" w:rsidR="00F23EC9" w:rsidRDefault="00D91B65">
            <w:pPr>
              <w:jc w:val="both"/>
              <w:rPr>
                <w:sz w:val="24"/>
                <w:szCs w:val="24"/>
              </w:rPr>
            </w:pPr>
            <w:r>
              <w:rPr>
                <w:rFonts w:ascii="Times New Roman" w:eastAsia="Calibri" w:hAnsi="Times New Roman" w:cs="Times New Roman"/>
                <w:sz w:val="24"/>
                <w:szCs w:val="24"/>
              </w:rPr>
              <w:t>Pregrada, polje 5 - grobno mjesto</w:t>
            </w:r>
          </w:p>
        </w:tc>
        <w:tc>
          <w:tcPr>
            <w:tcW w:w="3929" w:type="dxa"/>
          </w:tcPr>
          <w:p w14:paraId="780BDB57" w14:textId="77777777" w:rsidR="00F23EC9" w:rsidRDefault="00D91B65">
            <w:pPr>
              <w:jc w:val="both"/>
              <w:rPr>
                <w:sz w:val="24"/>
                <w:szCs w:val="24"/>
              </w:rPr>
            </w:pPr>
            <w:r>
              <w:rPr>
                <w:rFonts w:ascii="Times New Roman" w:eastAsia="Calibri" w:hAnsi="Times New Roman" w:cs="Times New Roman"/>
                <w:sz w:val="24"/>
                <w:szCs w:val="24"/>
              </w:rPr>
              <w:t>1,69</w:t>
            </w:r>
          </w:p>
        </w:tc>
      </w:tr>
      <w:tr w:rsidR="00F23EC9" w14:paraId="26981587" w14:textId="77777777">
        <w:trPr>
          <w:jc w:val="center"/>
        </w:trPr>
        <w:tc>
          <w:tcPr>
            <w:tcW w:w="5132" w:type="dxa"/>
          </w:tcPr>
          <w:p w14:paraId="3814AD99" w14:textId="77777777" w:rsidR="00F23EC9" w:rsidRDefault="00D91B65">
            <w:pPr>
              <w:jc w:val="both"/>
              <w:rPr>
                <w:sz w:val="24"/>
                <w:szCs w:val="24"/>
              </w:rPr>
            </w:pPr>
            <w:r>
              <w:rPr>
                <w:rFonts w:ascii="Times New Roman" w:eastAsia="Calibri" w:hAnsi="Times New Roman" w:cs="Times New Roman"/>
                <w:sz w:val="24"/>
                <w:szCs w:val="24"/>
              </w:rPr>
              <w:t>Pregrada – urne – STARI DIO</w:t>
            </w:r>
          </w:p>
        </w:tc>
        <w:tc>
          <w:tcPr>
            <w:tcW w:w="3929" w:type="dxa"/>
          </w:tcPr>
          <w:p w14:paraId="0C54A705" w14:textId="77777777" w:rsidR="00F23EC9" w:rsidRDefault="00D91B65">
            <w:pPr>
              <w:jc w:val="both"/>
              <w:rPr>
                <w:sz w:val="24"/>
                <w:szCs w:val="24"/>
              </w:rPr>
            </w:pPr>
            <w:r>
              <w:rPr>
                <w:rFonts w:ascii="Times New Roman" w:eastAsia="Calibri" w:hAnsi="Times New Roman" w:cs="Times New Roman"/>
                <w:sz w:val="24"/>
                <w:szCs w:val="24"/>
              </w:rPr>
              <w:t>0,50</w:t>
            </w:r>
          </w:p>
        </w:tc>
      </w:tr>
      <w:tr w:rsidR="00F23EC9" w14:paraId="68C0C357" w14:textId="77777777">
        <w:trPr>
          <w:jc w:val="center"/>
        </w:trPr>
        <w:tc>
          <w:tcPr>
            <w:tcW w:w="5132" w:type="dxa"/>
          </w:tcPr>
          <w:p w14:paraId="337EA40D" w14:textId="77777777" w:rsidR="00F23EC9" w:rsidRDefault="00D91B65">
            <w:pPr>
              <w:jc w:val="both"/>
              <w:rPr>
                <w:sz w:val="24"/>
                <w:szCs w:val="24"/>
              </w:rPr>
            </w:pPr>
            <w:r>
              <w:rPr>
                <w:rFonts w:ascii="Times New Roman" w:eastAsia="Calibri" w:hAnsi="Times New Roman" w:cs="Times New Roman"/>
                <w:sz w:val="24"/>
                <w:szCs w:val="24"/>
              </w:rPr>
              <w:t>Pregrada – urne – NOVI DIO</w:t>
            </w:r>
          </w:p>
        </w:tc>
        <w:tc>
          <w:tcPr>
            <w:tcW w:w="3929" w:type="dxa"/>
          </w:tcPr>
          <w:p w14:paraId="1C684F8E" w14:textId="77777777" w:rsidR="00F23EC9" w:rsidRDefault="00D91B65">
            <w:pPr>
              <w:jc w:val="both"/>
              <w:rPr>
                <w:sz w:val="24"/>
                <w:szCs w:val="24"/>
              </w:rPr>
            </w:pPr>
            <w:r>
              <w:rPr>
                <w:rFonts w:ascii="Times New Roman" w:eastAsia="Calibri" w:hAnsi="Times New Roman" w:cs="Times New Roman"/>
                <w:sz w:val="24"/>
                <w:szCs w:val="24"/>
              </w:rPr>
              <w:t>0,85</w:t>
            </w:r>
          </w:p>
        </w:tc>
      </w:tr>
      <w:tr w:rsidR="00F23EC9" w14:paraId="49C61B7F" w14:textId="77777777">
        <w:trPr>
          <w:jc w:val="center"/>
        </w:trPr>
        <w:tc>
          <w:tcPr>
            <w:tcW w:w="5132" w:type="dxa"/>
          </w:tcPr>
          <w:p w14:paraId="4612C8C1" w14:textId="77777777" w:rsidR="00F23EC9" w:rsidRDefault="00D91B65">
            <w:pPr>
              <w:jc w:val="both"/>
              <w:rPr>
                <w:sz w:val="24"/>
                <w:szCs w:val="24"/>
              </w:rPr>
            </w:pPr>
            <w:r>
              <w:rPr>
                <w:rFonts w:ascii="Times New Roman" w:eastAsia="Calibri" w:hAnsi="Times New Roman" w:cs="Times New Roman"/>
                <w:sz w:val="24"/>
                <w:szCs w:val="24"/>
              </w:rPr>
              <w:t>Pregrada – grobnica – 9 mjesta</w:t>
            </w:r>
          </w:p>
        </w:tc>
        <w:tc>
          <w:tcPr>
            <w:tcW w:w="3929" w:type="dxa"/>
          </w:tcPr>
          <w:p w14:paraId="59AC8062" w14:textId="77777777" w:rsidR="00F23EC9" w:rsidRDefault="00D91B65">
            <w:pPr>
              <w:jc w:val="both"/>
              <w:rPr>
                <w:sz w:val="24"/>
                <w:szCs w:val="24"/>
              </w:rPr>
            </w:pPr>
            <w:r>
              <w:rPr>
                <w:rFonts w:ascii="Times New Roman" w:eastAsia="Calibri" w:hAnsi="Times New Roman" w:cs="Times New Roman"/>
                <w:sz w:val="24"/>
                <w:szCs w:val="24"/>
              </w:rPr>
              <w:t>6,59</w:t>
            </w:r>
          </w:p>
        </w:tc>
      </w:tr>
      <w:tr w:rsidR="00F23EC9" w14:paraId="2D6633AD" w14:textId="77777777">
        <w:trPr>
          <w:jc w:val="center"/>
        </w:trPr>
        <w:tc>
          <w:tcPr>
            <w:tcW w:w="5132" w:type="dxa"/>
          </w:tcPr>
          <w:p w14:paraId="5019C68E" w14:textId="77777777" w:rsidR="00F23EC9" w:rsidRDefault="00D91B65">
            <w:pPr>
              <w:jc w:val="both"/>
              <w:rPr>
                <w:sz w:val="24"/>
                <w:szCs w:val="24"/>
              </w:rPr>
            </w:pPr>
            <w:r>
              <w:rPr>
                <w:rFonts w:ascii="Times New Roman" w:eastAsia="Calibri" w:hAnsi="Times New Roman" w:cs="Times New Roman"/>
                <w:sz w:val="24"/>
                <w:szCs w:val="24"/>
              </w:rPr>
              <w:t>Pregrada – grobnica – 6 mjesta</w:t>
            </w:r>
          </w:p>
        </w:tc>
        <w:tc>
          <w:tcPr>
            <w:tcW w:w="3929" w:type="dxa"/>
          </w:tcPr>
          <w:p w14:paraId="07E31340" w14:textId="77777777" w:rsidR="00F23EC9" w:rsidRDefault="00D91B65">
            <w:pPr>
              <w:jc w:val="both"/>
              <w:rPr>
                <w:sz w:val="24"/>
                <w:szCs w:val="24"/>
              </w:rPr>
            </w:pPr>
            <w:r>
              <w:rPr>
                <w:rFonts w:ascii="Times New Roman" w:eastAsia="Calibri" w:hAnsi="Times New Roman" w:cs="Times New Roman"/>
                <w:sz w:val="24"/>
                <w:szCs w:val="24"/>
              </w:rPr>
              <w:t>5,26</w:t>
            </w:r>
          </w:p>
        </w:tc>
      </w:tr>
      <w:tr w:rsidR="00F23EC9" w14:paraId="1A13A982" w14:textId="77777777">
        <w:trPr>
          <w:jc w:val="center"/>
        </w:trPr>
        <w:tc>
          <w:tcPr>
            <w:tcW w:w="5132" w:type="dxa"/>
          </w:tcPr>
          <w:p w14:paraId="44D93AE1" w14:textId="77777777" w:rsidR="00F23EC9" w:rsidRDefault="00D91B65">
            <w:pPr>
              <w:jc w:val="both"/>
              <w:rPr>
                <w:sz w:val="24"/>
                <w:szCs w:val="24"/>
              </w:rPr>
            </w:pPr>
            <w:r>
              <w:rPr>
                <w:rFonts w:ascii="Times New Roman" w:eastAsia="Calibri" w:hAnsi="Times New Roman" w:cs="Times New Roman"/>
                <w:sz w:val="24"/>
                <w:szCs w:val="24"/>
              </w:rPr>
              <w:t>Pregrada – grobnica – 3 mjesta</w:t>
            </w:r>
          </w:p>
        </w:tc>
        <w:tc>
          <w:tcPr>
            <w:tcW w:w="3929" w:type="dxa"/>
          </w:tcPr>
          <w:p w14:paraId="5CB4AB12" w14:textId="77777777" w:rsidR="00F23EC9" w:rsidRDefault="00D91B65">
            <w:pPr>
              <w:jc w:val="both"/>
              <w:rPr>
                <w:sz w:val="24"/>
                <w:szCs w:val="24"/>
              </w:rPr>
            </w:pPr>
            <w:r>
              <w:rPr>
                <w:rFonts w:ascii="Times New Roman" w:eastAsia="Calibri" w:hAnsi="Times New Roman" w:cs="Times New Roman"/>
                <w:sz w:val="24"/>
                <w:szCs w:val="24"/>
              </w:rPr>
              <w:t>3,93</w:t>
            </w:r>
          </w:p>
        </w:tc>
      </w:tr>
      <w:tr w:rsidR="00F23EC9" w14:paraId="30F2876D" w14:textId="77777777">
        <w:trPr>
          <w:jc w:val="center"/>
        </w:trPr>
        <w:tc>
          <w:tcPr>
            <w:tcW w:w="5132" w:type="dxa"/>
          </w:tcPr>
          <w:p w14:paraId="7F5A9D24" w14:textId="77777777" w:rsidR="00F23EC9" w:rsidRDefault="00D91B65">
            <w:pPr>
              <w:jc w:val="both"/>
              <w:rPr>
                <w:sz w:val="24"/>
                <w:szCs w:val="24"/>
              </w:rPr>
            </w:pPr>
            <w:r>
              <w:rPr>
                <w:rFonts w:ascii="Times New Roman" w:eastAsia="Calibri" w:hAnsi="Times New Roman" w:cs="Times New Roman"/>
                <w:b/>
                <w:bCs/>
                <w:sz w:val="24"/>
                <w:szCs w:val="24"/>
              </w:rPr>
              <w:t>STIPERNICA</w:t>
            </w:r>
          </w:p>
        </w:tc>
        <w:tc>
          <w:tcPr>
            <w:tcW w:w="3929" w:type="dxa"/>
          </w:tcPr>
          <w:p w14:paraId="524B61C4" w14:textId="77777777" w:rsidR="00F23EC9" w:rsidRDefault="00F23EC9">
            <w:pPr>
              <w:jc w:val="both"/>
              <w:rPr>
                <w:rFonts w:ascii="Times New Roman" w:hAnsi="Times New Roman" w:cs="Times New Roman"/>
                <w:sz w:val="24"/>
                <w:szCs w:val="24"/>
              </w:rPr>
            </w:pPr>
          </w:p>
        </w:tc>
      </w:tr>
      <w:tr w:rsidR="00F23EC9" w14:paraId="035BD0DC" w14:textId="77777777">
        <w:trPr>
          <w:jc w:val="center"/>
        </w:trPr>
        <w:tc>
          <w:tcPr>
            <w:tcW w:w="5132" w:type="dxa"/>
          </w:tcPr>
          <w:p w14:paraId="634237AA" w14:textId="77777777" w:rsidR="00F23EC9" w:rsidRDefault="00D91B65">
            <w:pPr>
              <w:jc w:val="both"/>
              <w:rPr>
                <w:sz w:val="24"/>
                <w:szCs w:val="24"/>
              </w:rPr>
            </w:pPr>
            <w:r>
              <w:rPr>
                <w:rFonts w:ascii="Times New Roman" w:eastAsia="Calibri" w:hAnsi="Times New Roman" w:cs="Times New Roman"/>
                <w:sz w:val="24"/>
                <w:szCs w:val="24"/>
              </w:rPr>
              <w:t>Stipernica – grobno mjesto</w:t>
            </w:r>
          </w:p>
        </w:tc>
        <w:tc>
          <w:tcPr>
            <w:tcW w:w="3929" w:type="dxa"/>
          </w:tcPr>
          <w:p w14:paraId="7E5E5124" w14:textId="77777777" w:rsidR="00F23EC9" w:rsidRDefault="00D91B65">
            <w:pPr>
              <w:jc w:val="both"/>
              <w:rPr>
                <w:sz w:val="24"/>
                <w:szCs w:val="24"/>
              </w:rPr>
            </w:pPr>
            <w:r>
              <w:rPr>
                <w:rFonts w:ascii="Times New Roman" w:eastAsia="Calibri" w:hAnsi="Times New Roman" w:cs="Times New Roman"/>
                <w:sz w:val="24"/>
                <w:szCs w:val="24"/>
              </w:rPr>
              <w:t>1,16</w:t>
            </w:r>
          </w:p>
        </w:tc>
      </w:tr>
      <w:tr w:rsidR="00F23EC9" w14:paraId="15EEA34E" w14:textId="77777777">
        <w:trPr>
          <w:jc w:val="center"/>
        </w:trPr>
        <w:tc>
          <w:tcPr>
            <w:tcW w:w="5132" w:type="dxa"/>
          </w:tcPr>
          <w:p w14:paraId="74684848" w14:textId="77777777" w:rsidR="00F23EC9" w:rsidRDefault="00D91B65">
            <w:pPr>
              <w:jc w:val="both"/>
              <w:rPr>
                <w:sz w:val="24"/>
                <w:szCs w:val="24"/>
              </w:rPr>
            </w:pPr>
            <w:r>
              <w:rPr>
                <w:rFonts w:ascii="Times New Roman" w:eastAsia="Calibri" w:hAnsi="Times New Roman" w:cs="Times New Roman"/>
                <w:sz w:val="24"/>
                <w:szCs w:val="24"/>
              </w:rPr>
              <w:t>Stipernica – urne</w:t>
            </w:r>
          </w:p>
        </w:tc>
        <w:tc>
          <w:tcPr>
            <w:tcW w:w="3929" w:type="dxa"/>
          </w:tcPr>
          <w:p w14:paraId="5FA9F37B" w14:textId="77777777" w:rsidR="00F23EC9" w:rsidRDefault="00D91B65">
            <w:pPr>
              <w:jc w:val="both"/>
              <w:rPr>
                <w:sz w:val="24"/>
                <w:szCs w:val="24"/>
              </w:rPr>
            </w:pPr>
            <w:r>
              <w:rPr>
                <w:rFonts w:ascii="Times New Roman" w:eastAsia="Calibri" w:hAnsi="Times New Roman" w:cs="Times New Roman"/>
                <w:sz w:val="24"/>
                <w:szCs w:val="24"/>
              </w:rPr>
              <w:t>0,58</w:t>
            </w:r>
          </w:p>
        </w:tc>
      </w:tr>
      <w:tr w:rsidR="00F23EC9" w14:paraId="1E1B6ED3" w14:textId="77777777">
        <w:trPr>
          <w:jc w:val="center"/>
        </w:trPr>
        <w:tc>
          <w:tcPr>
            <w:tcW w:w="5132" w:type="dxa"/>
          </w:tcPr>
          <w:p w14:paraId="7EFBB735" w14:textId="77777777" w:rsidR="00F23EC9" w:rsidRDefault="00D91B65">
            <w:pPr>
              <w:jc w:val="both"/>
              <w:rPr>
                <w:sz w:val="24"/>
                <w:szCs w:val="24"/>
              </w:rPr>
            </w:pPr>
            <w:r>
              <w:rPr>
                <w:rFonts w:ascii="Times New Roman" w:eastAsia="Calibri" w:hAnsi="Times New Roman" w:cs="Times New Roman"/>
                <w:sz w:val="24"/>
                <w:szCs w:val="24"/>
              </w:rPr>
              <w:t>Stipernica – grobnica – 9 mjesta</w:t>
            </w:r>
          </w:p>
        </w:tc>
        <w:tc>
          <w:tcPr>
            <w:tcW w:w="3929" w:type="dxa"/>
          </w:tcPr>
          <w:p w14:paraId="19B05E39" w14:textId="77777777" w:rsidR="00F23EC9" w:rsidRDefault="00D91B65">
            <w:pPr>
              <w:jc w:val="both"/>
              <w:rPr>
                <w:sz w:val="24"/>
                <w:szCs w:val="24"/>
              </w:rPr>
            </w:pPr>
            <w:r>
              <w:rPr>
                <w:rFonts w:ascii="Times New Roman" w:eastAsia="Calibri" w:hAnsi="Times New Roman" w:cs="Times New Roman"/>
                <w:sz w:val="24"/>
                <w:szCs w:val="24"/>
              </w:rPr>
              <w:t>4,79</w:t>
            </w:r>
          </w:p>
        </w:tc>
      </w:tr>
      <w:tr w:rsidR="00F23EC9" w14:paraId="6E0C654F" w14:textId="77777777">
        <w:trPr>
          <w:jc w:val="center"/>
        </w:trPr>
        <w:tc>
          <w:tcPr>
            <w:tcW w:w="5132" w:type="dxa"/>
          </w:tcPr>
          <w:p w14:paraId="1D775E62" w14:textId="77777777" w:rsidR="00F23EC9" w:rsidRDefault="00D91B65">
            <w:pPr>
              <w:jc w:val="both"/>
              <w:rPr>
                <w:sz w:val="24"/>
                <w:szCs w:val="24"/>
              </w:rPr>
            </w:pPr>
            <w:r>
              <w:rPr>
                <w:rFonts w:ascii="Times New Roman" w:eastAsia="Calibri" w:hAnsi="Times New Roman" w:cs="Times New Roman"/>
                <w:sz w:val="24"/>
                <w:szCs w:val="24"/>
              </w:rPr>
              <w:t>Stipernica – grobnica – 6 mjesta</w:t>
            </w:r>
          </w:p>
        </w:tc>
        <w:tc>
          <w:tcPr>
            <w:tcW w:w="3929" w:type="dxa"/>
          </w:tcPr>
          <w:p w14:paraId="076CA541" w14:textId="77777777" w:rsidR="00F23EC9" w:rsidRDefault="00D91B65">
            <w:pPr>
              <w:jc w:val="both"/>
              <w:rPr>
                <w:sz w:val="24"/>
                <w:szCs w:val="24"/>
              </w:rPr>
            </w:pPr>
            <w:r>
              <w:rPr>
                <w:rFonts w:ascii="Times New Roman" w:eastAsia="Calibri" w:hAnsi="Times New Roman" w:cs="Times New Roman"/>
                <w:sz w:val="24"/>
                <w:szCs w:val="24"/>
              </w:rPr>
              <w:t>3,69</w:t>
            </w:r>
          </w:p>
        </w:tc>
      </w:tr>
      <w:tr w:rsidR="00F23EC9" w14:paraId="23D676B7" w14:textId="77777777">
        <w:trPr>
          <w:jc w:val="center"/>
        </w:trPr>
        <w:tc>
          <w:tcPr>
            <w:tcW w:w="5132" w:type="dxa"/>
          </w:tcPr>
          <w:p w14:paraId="6C977877" w14:textId="77777777" w:rsidR="00F23EC9" w:rsidRDefault="00D91B65">
            <w:pPr>
              <w:jc w:val="both"/>
              <w:rPr>
                <w:sz w:val="24"/>
                <w:szCs w:val="24"/>
              </w:rPr>
            </w:pPr>
            <w:r>
              <w:rPr>
                <w:rFonts w:ascii="Times New Roman" w:eastAsia="Calibri" w:hAnsi="Times New Roman" w:cs="Times New Roman"/>
                <w:sz w:val="24"/>
                <w:szCs w:val="24"/>
              </w:rPr>
              <w:t>Stipernica – grobnica – 3 mjesta</w:t>
            </w:r>
          </w:p>
        </w:tc>
        <w:tc>
          <w:tcPr>
            <w:tcW w:w="3929" w:type="dxa"/>
          </w:tcPr>
          <w:p w14:paraId="09F5554F" w14:textId="77777777" w:rsidR="00F23EC9" w:rsidRDefault="00D91B65">
            <w:pPr>
              <w:jc w:val="both"/>
              <w:rPr>
                <w:sz w:val="24"/>
                <w:szCs w:val="24"/>
              </w:rPr>
            </w:pPr>
            <w:r>
              <w:rPr>
                <w:rFonts w:ascii="Times New Roman" w:eastAsia="Calibri" w:hAnsi="Times New Roman" w:cs="Times New Roman"/>
                <w:sz w:val="24"/>
                <w:szCs w:val="24"/>
              </w:rPr>
              <w:t>2,69</w:t>
            </w:r>
          </w:p>
        </w:tc>
      </w:tr>
      <w:tr w:rsidR="00F23EC9" w14:paraId="7B17BAC7" w14:textId="77777777">
        <w:trPr>
          <w:jc w:val="center"/>
        </w:trPr>
        <w:tc>
          <w:tcPr>
            <w:tcW w:w="5132" w:type="dxa"/>
          </w:tcPr>
          <w:p w14:paraId="75951B1A" w14:textId="77777777" w:rsidR="00F23EC9" w:rsidRDefault="00D91B65">
            <w:pPr>
              <w:jc w:val="both"/>
              <w:rPr>
                <w:sz w:val="24"/>
                <w:szCs w:val="24"/>
              </w:rPr>
            </w:pPr>
            <w:r>
              <w:rPr>
                <w:rFonts w:ascii="Times New Roman" w:eastAsia="Calibri" w:hAnsi="Times New Roman" w:cs="Times New Roman"/>
                <w:b/>
                <w:bCs/>
                <w:sz w:val="24"/>
                <w:szCs w:val="24"/>
              </w:rPr>
              <w:t>KOSTEL</w:t>
            </w:r>
          </w:p>
        </w:tc>
        <w:tc>
          <w:tcPr>
            <w:tcW w:w="3929" w:type="dxa"/>
          </w:tcPr>
          <w:p w14:paraId="743D9F5D" w14:textId="77777777" w:rsidR="00F23EC9" w:rsidRDefault="00F23EC9">
            <w:pPr>
              <w:jc w:val="both"/>
              <w:rPr>
                <w:rFonts w:ascii="Times New Roman" w:hAnsi="Times New Roman" w:cs="Times New Roman"/>
                <w:sz w:val="24"/>
                <w:szCs w:val="24"/>
              </w:rPr>
            </w:pPr>
          </w:p>
        </w:tc>
      </w:tr>
      <w:tr w:rsidR="00F23EC9" w14:paraId="694A4163" w14:textId="77777777">
        <w:trPr>
          <w:jc w:val="center"/>
        </w:trPr>
        <w:tc>
          <w:tcPr>
            <w:tcW w:w="5132" w:type="dxa"/>
          </w:tcPr>
          <w:p w14:paraId="58655835" w14:textId="77777777" w:rsidR="00F23EC9" w:rsidRDefault="00D91B65">
            <w:pPr>
              <w:jc w:val="both"/>
              <w:rPr>
                <w:sz w:val="24"/>
                <w:szCs w:val="24"/>
              </w:rPr>
            </w:pPr>
            <w:r>
              <w:rPr>
                <w:rFonts w:ascii="Times New Roman" w:eastAsia="Calibri" w:hAnsi="Times New Roman" w:cs="Times New Roman"/>
                <w:sz w:val="24"/>
                <w:szCs w:val="24"/>
              </w:rPr>
              <w:t>Kostel – grobno mjesto</w:t>
            </w:r>
          </w:p>
        </w:tc>
        <w:tc>
          <w:tcPr>
            <w:tcW w:w="3929" w:type="dxa"/>
          </w:tcPr>
          <w:p w14:paraId="42F5C318" w14:textId="77777777" w:rsidR="00F23EC9" w:rsidRDefault="00D91B65">
            <w:pPr>
              <w:jc w:val="both"/>
              <w:rPr>
                <w:sz w:val="24"/>
                <w:szCs w:val="24"/>
              </w:rPr>
            </w:pPr>
            <w:r>
              <w:rPr>
                <w:rFonts w:ascii="Times New Roman" w:eastAsia="Calibri" w:hAnsi="Times New Roman" w:cs="Times New Roman"/>
                <w:sz w:val="24"/>
                <w:szCs w:val="24"/>
              </w:rPr>
              <w:t>1,21</w:t>
            </w:r>
          </w:p>
        </w:tc>
      </w:tr>
      <w:tr w:rsidR="00F23EC9" w14:paraId="5B773D4A" w14:textId="77777777">
        <w:trPr>
          <w:jc w:val="center"/>
        </w:trPr>
        <w:tc>
          <w:tcPr>
            <w:tcW w:w="5132" w:type="dxa"/>
          </w:tcPr>
          <w:p w14:paraId="60BB72B7" w14:textId="77777777" w:rsidR="00F23EC9" w:rsidRDefault="00D91B65">
            <w:pPr>
              <w:jc w:val="both"/>
              <w:rPr>
                <w:sz w:val="24"/>
                <w:szCs w:val="24"/>
              </w:rPr>
            </w:pPr>
            <w:r>
              <w:rPr>
                <w:rFonts w:ascii="Times New Roman" w:eastAsia="Calibri" w:hAnsi="Times New Roman" w:cs="Times New Roman"/>
                <w:sz w:val="24"/>
                <w:szCs w:val="24"/>
              </w:rPr>
              <w:t>Kostel – urne</w:t>
            </w:r>
          </w:p>
        </w:tc>
        <w:tc>
          <w:tcPr>
            <w:tcW w:w="3929" w:type="dxa"/>
          </w:tcPr>
          <w:p w14:paraId="122CCB12" w14:textId="77777777" w:rsidR="00F23EC9" w:rsidRDefault="00D91B65">
            <w:pPr>
              <w:jc w:val="both"/>
              <w:rPr>
                <w:sz w:val="24"/>
                <w:szCs w:val="24"/>
              </w:rPr>
            </w:pPr>
            <w:r>
              <w:rPr>
                <w:rFonts w:ascii="Times New Roman" w:eastAsia="Calibri" w:hAnsi="Times New Roman" w:cs="Times New Roman"/>
                <w:sz w:val="24"/>
                <w:szCs w:val="24"/>
              </w:rPr>
              <w:t>0,61</w:t>
            </w:r>
          </w:p>
        </w:tc>
      </w:tr>
      <w:tr w:rsidR="00F23EC9" w14:paraId="134D9661" w14:textId="77777777">
        <w:trPr>
          <w:jc w:val="center"/>
        </w:trPr>
        <w:tc>
          <w:tcPr>
            <w:tcW w:w="5132" w:type="dxa"/>
          </w:tcPr>
          <w:p w14:paraId="0877323A" w14:textId="77777777" w:rsidR="00F23EC9" w:rsidRDefault="00D91B65">
            <w:pPr>
              <w:jc w:val="both"/>
              <w:rPr>
                <w:sz w:val="24"/>
                <w:szCs w:val="24"/>
              </w:rPr>
            </w:pPr>
            <w:r>
              <w:rPr>
                <w:rFonts w:ascii="Times New Roman" w:eastAsia="Calibri" w:hAnsi="Times New Roman" w:cs="Times New Roman"/>
                <w:sz w:val="24"/>
                <w:szCs w:val="24"/>
              </w:rPr>
              <w:t>Kostel – grobnica – 9 mjesta</w:t>
            </w:r>
          </w:p>
        </w:tc>
        <w:tc>
          <w:tcPr>
            <w:tcW w:w="3929" w:type="dxa"/>
          </w:tcPr>
          <w:p w14:paraId="5FCE9596" w14:textId="77777777" w:rsidR="00F23EC9" w:rsidRDefault="00D91B65">
            <w:pPr>
              <w:jc w:val="both"/>
              <w:rPr>
                <w:sz w:val="24"/>
                <w:szCs w:val="24"/>
              </w:rPr>
            </w:pPr>
            <w:r>
              <w:rPr>
                <w:rFonts w:ascii="Times New Roman" w:eastAsia="Calibri" w:hAnsi="Times New Roman" w:cs="Times New Roman"/>
                <w:sz w:val="24"/>
                <w:szCs w:val="24"/>
              </w:rPr>
              <w:t>5,02</w:t>
            </w:r>
          </w:p>
        </w:tc>
      </w:tr>
      <w:tr w:rsidR="00F23EC9" w14:paraId="19E017AF" w14:textId="77777777">
        <w:trPr>
          <w:jc w:val="center"/>
        </w:trPr>
        <w:tc>
          <w:tcPr>
            <w:tcW w:w="5132" w:type="dxa"/>
          </w:tcPr>
          <w:p w14:paraId="228EB685" w14:textId="77777777" w:rsidR="00F23EC9" w:rsidRDefault="00D91B65">
            <w:pPr>
              <w:jc w:val="both"/>
              <w:rPr>
                <w:sz w:val="24"/>
                <w:szCs w:val="24"/>
              </w:rPr>
            </w:pPr>
            <w:r>
              <w:rPr>
                <w:rFonts w:ascii="Times New Roman" w:eastAsia="Calibri" w:hAnsi="Times New Roman" w:cs="Times New Roman"/>
                <w:sz w:val="24"/>
                <w:szCs w:val="24"/>
              </w:rPr>
              <w:t>Kostel – grobnica – 6 mjesta</w:t>
            </w:r>
          </w:p>
        </w:tc>
        <w:tc>
          <w:tcPr>
            <w:tcW w:w="3929" w:type="dxa"/>
          </w:tcPr>
          <w:p w14:paraId="57FCD765" w14:textId="77777777" w:rsidR="00F23EC9" w:rsidRDefault="00D91B65">
            <w:pPr>
              <w:jc w:val="both"/>
              <w:rPr>
                <w:sz w:val="24"/>
                <w:szCs w:val="24"/>
              </w:rPr>
            </w:pPr>
            <w:r>
              <w:rPr>
                <w:rFonts w:ascii="Times New Roman" w:eastAsia="Calibri" w:hAnsi="Times New Roman" w:cs="Times New Roman"/>
                <w:sz w:val="24"/>
                <w:szCs w:val="24"/>
              </w:rPr>
              <w:t>3,87</w:t>
            </w:r>
          </w:p>
        </w:tc>
      </w:tr>
      <w:tr w:rsidR="00F23EC9" w14:paraId="35A091AA" w14:textId="77777777">
        <w:trPr>
          <w:jc w:val="center"/>
        </w:trPr>
        <w:tc>
          <w:tcPr>
            <w:tcW w:w="5132" w:type="dxa"/>
          </w:tcPr>
          <w:p w14:paraId="44F94DD2" w14:textId="77777777" w:rsidR="00F23EC9" w:rsidRDefault="00D91B65">
            <w:pPr>
              <w:jc w:val="both"/>
              <w:rPr>
                <w:sz w:val="24"/>
                <w:szCs w:val="24"/>
              </w:rPr>
            </w:pPr>
            <w:r>
              <w:rPr>
                <w:rFonts w:ascii="Times New Roman" w:eastAsia="Calibri" w:hAnsi="Times New Roman" w:cs="Times New Roman"/>
                <w:sz w:val="24"/>
                <w:szCs w:val="24"/>
              </w:rPr>
              <w:t>Kostel – grobnica – 3 mjesta</w:t>
            </w:r>
          </w:p>
        </w:tc>
        <w:tc>
          <w:tcPr>
            <w:tcW w:w="3929" w:type="dxa"/>
          </w:tcPr>
          <w:p w14:paraId="2B2B4270" w14:textId="77777777" w:rsidR="00F23EC9" w:rsidRDefault="00D91B65">
            <w:pPr>
              <w:jc w:val="both"/>
              <w:rPr>
                <w:sz w:val="24"/>
                <w:szCs w:val="24"/>
              </w:rPr>
            </w:pPr>
            <w:r>
              <w:rPr>
                <w:rFonts w:ascii="Times New Roman" w:eastAsia="Calibri" w:hAnsi="Times New Roman" w:cs="Times New Roman"/>
                <w:sz w:val="24"/>
                <w:szCs w:val="24"/>
              </w:rPr>
              <w:t>2,82</w:t>
            </w:r>
          </w:p>
        </w:tc>
      </w:tr>
      <w:tr w:rsidR="00F23EC9" w14:paraId="55A554D6" w14:textId="77777777">
        <w:trPr>
          <w:jc w:val="center"/>
        </w:trPr>
        <w:tc>
          <w:tcPr>
            <w:tcW w:w="5132" w:type="dxa"/>
          </w:tcPr>
          <w:p w14:paraId="6C00EB77" w14:textId="77777777" w:rsidR="00F23EC9" w:rsidRDefault="00D91B65">
            <w:pPr>
              <w:jc w:val="both"/>
              <w:rPr>
                <w:sz w:val="24"/>
                <w:szCs w:val="24"/>
              </w:rPr>
            </w:pPr>
            <w:r>
              <w:rPr>
                <w:rFonts w:ascii="Times New Roman" w:eastAsia="Calibri" w:hAnsi="Times New Roman" w:cs="Times New Roman"/>
                <w:b/>
                <w:bCs/>
                <w:sz w:val="24"/>
                <w:szCs w:val="24"/>
              </w:rPr>
              <w:t>VINAGORA</w:t>
            </w:r>
          </w:p>
        </w:tc>
        <w:tc>
          <w:tcPr>
            <w:tcW w:w="3929" w:type="dxa"/>
          </w:tcPr>
          <w:p w14:paraId="7A5623B8" w14:textId="77777777" w:rsidR="00F23EC9" w:rsidRDefault="00F23EC9">
            <w:pPr>
              <w:jc w:val="both"/>
              <w:rPr>
                <w:rFonts w:ascii="Times New Roman" w:hAnsi="Times New Roman" w:cs="Times New Roman"/>
                <w:sz w:val="24"/>
                <w:szCs w:val="24"/>
              </w:rPr>
            </w:pPr>
          </w:p>
        </w:tc>
      </w:tr>
      <w:tr w:rsidR="00F23EC9" w14:paraId="055894ED" w14:textId="77777777">
        <w:trPr>
          <w:jc w:val="center"/>
        </w:trPr>
        <w:tc>
          <w:tcPr>
            <w:tcW w:w="5132" w:type="dxa"/>
          </w:tcPr>
          <w:p w14:paraId="42B46D7C" w14:textId="77777777" w:rsidR="00F23EC9" w:rsidRDefault="00D91B65">
            <w:pPr>
              <w:jc w:val="both"/>
              <w:rPr>
                <w:sz w:val="24"/>
                <w:szCs w:val="24"/>
              </w:rPr>
            </w:pPr>
            <w:r>
              <w:rPr>
                <w:rFonts w:ascii="Times New Roman" w:eastAsia="Calibri" w:hAnsi="Times New Roman" w:cs="Times New Roman"/>
                <w:sz w:val="24"/>
                <w:szCs w:val="24"/>
              </w:rPr>
              <w:t>Vinagora – grobno mjesto</w:t>
            </w:r>
          </w:p>
        </w:tc>
        <w:tc>
          <w:tcPr>
            <w:tcW w:w="3929" w:type="dxa"/>
          </w:tcPr>
          <w:p w14:paraId="1ED8FC6D" w14:textId="77777777" w:rsidR="00F23EC9" w:rsidRDefault="00D91B65">
            <w:pPr>
              <w:jc w:val="both"/>
              <w:rPr>
                <w:sz w:val="24"/>
                <w:szCs w:val="24"/>
              </w:rPr>
            </w:pPr>
            <w:r>
              <w:rPr>
                <w:rFonts w:ascii="Times New Roman" w:eastAsia="Calibri" w:hAnsi="Times New Roman" w:cs="Times New Roman"/>
                <w:sz w:val="24"/>
                <w:szCs w:val="24"/>
              </w:rPr>
              <w:t>0,90</w:t>
            </w:r>
          </w:p>
        </w:tc>
      </w:tr>
      <w:tr w:rsidR="00F23EC9" w14:paraId="616F5C90" w14:textId="77777777">
        <w:trPr>
          <w:jc w:val="center"/>
        </w:trPr>
        <w:tc>
          <w:tcPr>
            <w:tcW w:w="5132" w:type="dxa"/>
          </w:tcPr>
          <w:p w14:paraId="32560BD6" w14:textId="77777777" w:rsidR="00F23EC9" w:rsidRDefault="00D91B65">
            <w:pPr>
              <w:jc w:val="both"/>
              <w:rPr>
                <w:sz w:val="24"/>
                <w:szCs w:val="24"/>
              </w:rPr>
            </w:pPr>
            <w:r>
              <w:rPr>
                <w:rFonts w:ascii="Times New Roman" w:eastAsia="Calibri" w:hAnsi="Times New Roman" w:cs="Times New Roman"/>
                <w:sz w:val="24"/>
                <w:szCs w:val="24"/>
              </w:rPr>
              <w:t>Vinagora – urne</w:t>
            </w:r>
          </w:p>
        </w:tc>
        <w:tc>
          <w:tcPr>
            <w:tcW w:w="3929" w:type="dxa"/>
          </w:tcPr>
          <w:p w14:paraId="2A10CC03" w14:textId="77777777" w:rsidR="00F23EC9" w:rsidRDefault="00D91B65">
            <w:pPr>
              <w:jc w:val="both"/>
              <w:rPr>
                <w:sz w:val="24"/>
                <w:szCs w:val="24"/>
              </w:rPr>
            </w:pPr>
            <w:r>
              <w:rPr>
                <w:rFonts w:ascii="Times New Roman" w:eastAsia="Calibri" w:hAnsi="Times New Roman" w:cs="Times New Roman"/>
                <w:sz w:val="24"/>
                <w:szCs w:val="24"/>
              </w:rPr>
              <w:t>0,45</w:t>
            </w:r>
          </w:p>
        </w:tc>
      </w:tr>
    </w:tbl>
    <w:p w14:paraId="083EF97A" w14:textId="77777777" w:rsidR="00F23EC9" w:rsidRDefault="00F23EC9">
      <w:pPr>
        <w:jc w:val="both"/>
        <w:rPr>
          <w:rFonts w:ascii="Times New Roman" w:hAnsi="Times New Roman" w:cs="Times New Roman"/>
          <w:sz w:val="24"/>
          <w:szCs w:val="24"/>
        </w:rPr>
      </w:pPr>
    </w:p>
    <w:p w14:paraId="72F565C7" w14:textId="77777777" w:rsidR="00F23EC9" w:rsidRDefault="00D91B65">
      <w:pPr>
        <w:jc w:val="both"/>
        <w:rPr>
          <w:sz w:val="24"/>
          <w:szCs w:val="24"/>
        </w:rPr>
      </w:pPr>
      <w:r>
        <w:rPr>
          <w:rFonts w:ascii="Times New Roman" w:hAnsi="Times New Roman" w:cs="Times New Roman"/>
          <w:sz w:val="24"/>
          <w:szCs w:val="24"/>
        </w:rPr>
        <w:lastRenderedPageBreak/>
        <w:t>Ukupna visina naknade za dodjelu pojedinog grobnog mjesta na korištenje utvrđuje se umnoškom vrijednosti lokacije groblja i koeficijenta opremljenosti groblja i grobova.</w:t>
      </w:r>
    </w:p>
    <w:p w14:paraId="4B4E86CB" w14:textId="77777777" w:rsidR="00F23EC9" w:rsidRDefault="00D91B65">
      <w:pPr>
        <w:jc w:val="both"/>
        <w:rPr>
          <w:sz w:val="24"/>
          <w:szCs w:val="24"/>
        </w:rPr>
      </w:pPr>
      <w:r>
        <w:rPr>
          <w:rFonts w:ascii="Times New Roman" w:hAnsi="Times New Roman" w:cs="Times New Roman"/>
          <w:sz w:val="24"/>
          <w:szCs w:val="24"/>
        </w:rPr>
        <w:t>Godišnja grobna naknada plaća se jednom godišnje kao naknada za održavanje i upravljanje grobljem.</w:t>
      </w:r>
    </w:p>
    <w:p w14:paraId="1E95EB32" w14:textId="77777777" w:rsidR="00F23EC9" w:rsidRDefault="00D91B65">
      <w:pPr>
        <w:jc w:val="both"/>
        <w:rPr>
          <w:sz w:val="24"/>
          <w:szCs w:val="24"/>
        </w:rPr>
      </w:pPr>
      <w:r>
        <w:rPr>
          <w:rFonts w:ascii="Times New Roman" w:hAnsi="Times New Roman" w:cs="Times New Roman"/>
          <w:sz w:val="24"/>
          <w:szCs w:val="24"/>
        </w:rPr>
        <w:t>Plaćanjem godišnje grobne naknade korisnik grobnog mjesta ne oslobađa se obveze održavanja grobnog mjesta koje mu je dodijeljeno na korištenje.</w:t>
      </w:r>
    </w:p>
    <w:p w14:paraId="786CA1A5" w14:textId="77777777" w:rsidR="00F23EC9" w:rsidRDefault="00D91B65">
      <w:pPr>
        <w:jc w:val="both"/>
        <w:rPr>
          <w:sz w:val="24"/>
          <w:szCs w:val="24"/>
        </w:rPr>
      </w:pPr>
      <w:r>
        <w:rPr>
          <w:rFonts w:ascii="Times New Roman" w:hAnsi="Times New Roman" w:cs="Times New Roman"/>
          <w:sz w:val="24"/>
          <w:szCs w:val="24"/>
        </w:rPr>
        <w:t>Korisnik grobnog mjesta stječe pravo korištenja grobnog mjesta pravomoćnošću rješenja o dodijeli grobnog mjesta na korištenje i plaćanjem naknade za dodjelu grobnog mjesta.</w:t>
      </w:r>
    </w:p>
    <w:p w14:paraId="7A8237E4" w14:textId="77777777" w:rsidR="00F23EC9" w:rsidRDefault="00F23EC9">
      <w:pPr>
        <w:jc w:val="both"/>
        <w:rPr>
          <w:rFonts w:cs="Times New Roman"/>
          <w:sz w:val="24"/>
          <w:szCs w:val="24"/>
        </w:rPr>
      </w:pPr>
    </w:p>
    <w:p w14:paraId="70A716E4" w14:textId="77777777" w:rsidR="00F23EC9" w:rsidRDefault="00D91B65">
      <w:pPr>
        <w:jc w:val="center"/>
        <w:rPr>
          <w:sz w:val="24"/>
          <w:szCs w:val="24"/>
        </w:rPr>
      </w:pPr>
      <w:r>
        <w:rPr>
          <w:rFonts w:ascii="Times New Roman" w:hAnsi="Times New Roman" w:cs="Times New Roman"/>
          <w:sz w:val="24"/>
          <w:szCs w:val="24"/>
        </w:rPr>
        <w:t>Članak 17.</w:t>
      </w:r>
    </w:p>
    <w:p w14:paraId="55262CC7" w14:textId="77777777" w:rsidR="00F23EC9" w:rsidRDefault="00D91B65">
      <w:pPr>
        <w:widowControl w:val="0"/>
        <w:jc w:val="both"/>
        <w:rPr>
          <w:sz w:val="24"/>
          <w:szCs w:val="24"/>
        </w:rPr>
      </w:pPr>
      <w:r>
        <w:rPr>
          <w:rFonts w:ascii="Times New Roman" w:hAnsi="Times New Roman" w:cs="Times New Roman"/>
          <w:color w:val="000000"/>
          <w:sz w:val="24"/>
          <w:szCs w:val="24"/>
        </w:rPr>
        <w:t>Na grobovima i grobnicama mogu se postaviti nadgrobni znaci i spomenici koji svojom veličinom i oblikom ne smiju narušavati opći izgled groblja, te oblikovani prema tradicijskim elementima lokalne arhitekture.</w:t>
      </w:r>
    </w:p>
    <w:p w14:paraId="3490A330" w14:textId="77777777" w:rsidR="00F23EC9" w:rsidRDefault="00D91B65">
      <w:pPr>
        <w:widowControl w:val="0"/>
        <w:jc w:val="both"/>
        <w:rPr>
          <w:sz w:val="24"/>
          <w:szCs w:val="24"/>
        </w:rPr>
      </w:pPr>
      <w:r>
        <w:rPr>
          <w:rFonts w:ascii="Times New Roman" w:hAnsi="Times New Roman" w:cs="Times New Roman"/>
          <w:color w:val="000000"/>
          <w:sz w:val="24"/>
          <w:szCs w:val="24"/>
        </w:rPr>
        <w:t>O načinu oblikovanja nadgrobnih ploča, spomenika i sl. odlučuje rodbina umrlog u skladu s eventualnom ranijom željom umrlog.</w:t>
      </w:r>
    </w:p>
    <w:p w14:paraId="2BD13A8F" w14:textId="77777777" w:rsidR="00F23EC9" w:rsidRDefault="00F23EC9">
      <w:pPr>
        <w:widowControl w:val="0"/>
        <w:jc w:val="both"/>
        <w:rPr>
          <w:sz w:val="24"/>
          <w:szCs w:val="24"/>
        </w:rPr>
      </w:pPr>
    </w:p>
    <w:p w14:paraId="14C05CCA" w14:textId="77777777" w:rsidR="00F23EC9" w:rsidRDefault="00F23EC9">
      <w:pPr>
        <w:widowControl w:val="0"/>
        <w:jc w:val="both"/>
        <w:rPr>
          <w:sz w:val="24"/>
          <w:szCs w:val="24"/>
        </w:rPr>
      </w:pPr>
    </w:p>
    <w:p w14:paraId="32B466E2" w14:textId="77777777" w:rsidR="00F23EC9" w:rsidRDefault="00D91B65">
      <w:pPr>
        <w:jc w:val="center"/>
        <w:rPr>
          <w:sz w:val="24"/>
          <w:szCs w:val="24"/>
        </w:rPr>
      </w:pPr>
      <w:r>
        <w:rPr>
          <w:rFonts w:ascii="Times New Roman" w:hAnsi="Times New Roman" w:cs="Times New Roman"/>
          <w:sz w:val="24"/>
          <w:szCs w:val="24"/>
        </w:rPr>
        <w:t>Članak 18.</w:t>
      </w:r>
    </w:p>
    <w:p w14:paraId="4DDBBA1A" w14:textId="77777777" w:rsidR="00F23EC9" w:rsidRDefault="00D91B65">
      <w:pPr>
        <w:jc w:val="both"/>
        <w:rPr>
          <w:sz w:val="24"/>
          <w:szCs w:val="24"/>
        </w:rPr>
      </w:pPr>
      <w:r>
        <w:rPr>
          <w:rFonts w:ascii="Times New Roman" w:hAnsi="Times New Roman" w:cs="Times New Roman"/>
          <w:sz w:val="24"/>
          <w:szCs w:val="24"/>
        </w:rPr>
        <w:t>Kad dug za godišnju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017F54A9" w14:textId="0B9FD0FD" w:rsidR="00F23EC9" w:rsidRDefault="00D91B65">
      <w:pPr>
        <w:jc w:val="both"/>
        <w:rPr>
          <w:sz w:val="24"/>
          <w:szCs w:val="24"/>
        </w:rPr>
      </w:pPr>
      <w:r>
        <w:rPr>
          <w:rFonts w:ascii="Times New Roman" w:hAnsi="Times New Roman" w:cs="Times New Roman"/>
          <w:sz w:val="24"/>
          <w:szCs w:val="24"/>
        </w:rPr>
        <w:t xml:space="preserve">Ako korisnik grobnog mjesta ne postupi prema obavijesti iz prethodnog stavka ovog članka, </w:t>
      </w:r>
      <w:r w:rsidR="007A5BDC" w:rsidRPr="007A5BDC">
        <w:rPr>
          <w:rFonts w:ascii="Times New Roman" w:hAnsi="Times New Roman" w:cs="Times New Roman"/>
          <w:sz w:val="24"/>
          <w:szCs w:val="24"/>
        </w:rPr>
        <w:t>prestaje pravo korištenja grobnog mjesta</w:t>
      </w:r>
      <w:r>
        <w:rPr>
          <w:rFonts w:ascii="Times New Roman" w:hAnsi="Times New Roman" w:cs="Times New Roman"/>
          <w:sz w:val="24"/>
          <w:szCs w:val="24"/>
        </w:rPr>
        <w:t>, o čemu Upravitelj groblja donosi rješenje i može se ponovno dati na korištenje.</w:t>
      </w:r>
    </w:p>
    <w:p w14:paraId="0CDF8960" w14:textId="77777777" w:rsidR="00F23EC9" w:rsidRDefault="00F23EC9">
      <w:pPr>
        <w:jc w:val="both"/>
        <w:rPr>
          <w:rFonts w:ascii="Times New Roman" w:hAnsi="Times New Roman"/>
          <w:sz w:val="24"/>
          <w:szCs w:val="24"/>
        </w:rPr>
      </w:pPr>
    </w:p>
    <w:p w14:paraId="76A5E145" w14:textId="77777777" w:rsidR="00F23EC9" w:rsidRDefault="00D91B65">
      <w:pPr>
        <w:jc w:val="center"/>
        <w:rPr>
          <w:sz w:val="24"/>
          <w:szCs w:val="24"/>
        </w:rPr>
      </w:pPr>
      <w:r>
        <w:rPr>
          <w:rFonts w:ascii="Times New Roman" w:hAnsi="Times New Roman" w:cs="Times New Roman"/>
          <w:sz w:val="24"/>
          <w:szCs w:val="24"/>
        </w:rPr>
        <w:t>Članak 19.</w:t>
      </w:r>
    </w:p>
    <w:p w14:paraId="54BFFEA7" w14:textId="77777777" w:rsidR="00F23EC9" w:rsidRDefault="00D91B65">
      <w:pPr>
        <w:jc w:val="both"/>
        <w:rPr>
          <w:sz w:val="24"/>
          <w:szCs w:val="24"/>
        </w:rPr>
      </w:pPr>
      <w:r>
        <w:rPr>
          <w:rFonts w:ascii="Times New Roman" w:hAnsi="Times New Roman" w:cs="Times New Roman"/>
          <w:sz w:val="24"/>
          <w:szCs w:val="24"/>
        </w:rPr>
        <w:t>Grobna mjesta dodjeljuju se prema Položajnom planu grobnih mjesta, redoslijedom prema brojevima grobnih mjesta označenim u Položajnom planu, tako da se u najvećoj mjeri nastoji usvojiti želje korisnika prema mogućnostima raspoloživih mjesta.</w:t>
      </w:r>
      <w:r>
        <w:rPr>
          <w:rFonts w:ascii="Times New Roman" w:hAnsi="Times New Roman" w:cs="Times New Roman"/>
          <w:sz w:val="24"/>
          <w:szCs w:val="24"/>
        </w:rPr>
        <w:br/>
        <w:t xml:space="preserve">Položajni plan grobnih mjesta mora sadržavati: plan groblja, plan rasporeda grobnih mjesta s naznačenim oznakama, brojevima grobnih mjesta, grafički prikaz rasporeda, a može sadržavati i druge podatke vezane za raspored i korištenje grobnih mjesta. Položajni plan donosi upravitelj groblja. </w:t>
      </w:r>
    </w:p>
    <w:p w14:paraId="64992229" w14:textId="77777777" w:rsidR="00F23EC9" w:rsidRDefault="00D91B65">
      <w:pPr>
        <w:jc w:val="both"/>
        <w:rPr>
          <w:sz w:val="24"/>
          <w:szCs w:val="24"/>
        </w:rPr>
      </w:pPr>
      <w:r>
        <w:rPr>
          <w:rFonts w:ascii="Times New Roman" w:hAnsi="Times New Roman" w:cs="Times New Roman"/>
          <w:sz w:val="24"/>
          <w:szCs w:val="24"/>
        </w:rPr>
        <w:t>Grobovi mogu biti pojedinačni ili obiteljski za ukop dviju ili više osoba.</w:t>
      </w:r>
    </w:p>
    <w:p w14:paraId="61C06266" w14:textId="77777777" w:rsidR="00F23EC9" w:rsidRDefault="00F23EC9">
      <w:pPr>
        <w:jc w:val="both"/>
        <w:rPr>
          <w:rFonts w:ascii="Times New Roman" w:hAnsi="Times New Roman" w:cs="Times New Roman"/>
          <w:sz w:val="24"/>
          <w:szCs w:val="24"/>
        </w:rPr>
      </w:pPr>
    </w:p>
    <w:p w14:paraId="2C8BC54A" w14:textId="77777777" w:rsidR="00F23EC9" w:rsidRDefault="00D91B65">
      <w:pPr>
        <w:pStyle w:val="Odlomakpopisa"/>
        <w:numPr>
          <w:ilvl w:val="0"/>
          <w:numId w:val="1"/>
        </w:numPr>
        <w:jc w:val="both"/>
        <w:rPr>
          <w:sz w:val="24"/>
          <w:szCs w:val="24"/>
        </w:rPr>
      </w:pPr>
      <w:r>
        <w:rPr>
          <w:rFonts w:ascii="Times New Roman" w:hAnsi="Times New Roman" w:cs="Times New Roman"/>
          <w:sz w:val="24"/>
          <w:szCs w:val="24"/>
        </w:rPr>
        <w:t>GROBNI OČEVIDNICI</w:t>
      </w:r>
    </w:p>
    <w:p w14:paraId="091C6062" w14:textId="77777777" w:rsidR="00F23EC9" w:rsidRDefault="00D91B65">
      <w:pPr>
        <w:jc w:val="center"/>
        <w:rPr>
          <w:sz w:val="24"/>
          <w:szCs w:val="24"/>
        </w:rPr>
      </w:pPr>
      <w:r>
        <w:rPr>
          <w:rFonts w:ascii="Times New Roman" w:hAnsi="Times New Roman" w:cs="Times New Roman"/>
          <w:sz w:val="24"/>
          <w:szCs w:val="24"/>
        </w:rPr>
        <w:t>Članak 20.</w:t>
      </w:r>
    </w:p>
    <w:p w14:paraId="20AA416E" w14:textId="77777777" w:rsidR="00F23EC9" w:rsidRDefault="00D91B65">
      <w:pPr>
        <w:jc w:val="both"/>
        <w:rPr>
          <w:sz w:val="24"/>
          <w:szCs w:val="24"/>
        </w:rPr>
      </w:pPr>
      <w:r>
        <w:rPr>
          <w:rFonts w:ascii="Times New Roman" w:hAnsi="Times New Roman" w:cs="Times New Roman"/>
          <w:sz w:val="24"/>
          <w:szCs w:val="24"/>
        </w:rPr>
        <w:t>Upravitelj groblja dužan je voditi grobni očevidnik o ukopu svih umrlih osoba na području jedinice lokalne samouprave koji sadrži podatke o:</w:t>
      </w:r>
    </w:p>
    <w:p w14:paraId="3E9CEAC8" w14:textId="77777777" w:rsidR="00F23EC9" w:rsidRDefault="00D91B65">
      <w:pPr>
        <w:jc w:val="both"/>
        <w:rPr>
          <w:sz w:val="24"/>
          <w:szCs w:val="24"/>
        </w:rPr>
      </w:pPr>
      <w:r>
        <w:rPr>
          <w:rFonts w:ascii="Times New Roman" w:hAnsi="Times New Roman" w:cs="Times New Roman"/>
          <w:sz w:val="24"/>
          <w:szCs w:val="24"/>
        </w:rPr>
        <w:tab/>
        <w:t>- nazivu groblja</w:t>
      </w:r>
    </w:p>
    <w:p w14:paraId="24E7E1FC" w14:textId="77777777" w:rsidR="00F23EC9" w:rsidRDefault="00D91B65">
      <w:pPr>
        <w:jc w:val="both"/>
        <w:rPr>
          <w:sz w:val="24"/>
          <w:szCs w:val="24"/>
        </w:rPr>
      </w:pPr>
      <w:r>
        <w:rPr>
          <w:rFonts w:ascii="Times New Roman" w:hAnsi="Times New Roman" w:cs="Times New Roman"/>
          <w:sz w:val="24"/>
          <w:szCs w:val="24"/>
        </w:rPr>
        <w:tab/>
        <w:t>- vrsti, površini i položaju grobnih mjesta</w:t>
      </w:r>
    </w:p>
    <w:p w14:paraId="6ED54687" w14:textId="77777777" w:rsidR="00F23EC9" w:rsidRDefault="00D91B65">
      <w:pPr>
        <w:jc w:val="both"/>
        <w:rPr>
          <w:sz w:val="24"/>
          <w:szCs w:val="24"/>
        </w:rPr>
      </w:pPr>
      <w:r>
        <w:rPr>
          <w:rFonts w:ascii="Times New Roman" w:hAnsi="Times New Roman" w:cs="Times New Roman"/>
          <w:sz w:val="24"/>
          <w:szCs w:val="24"/>
        </w:rPr>
        <w:tab/>
        <w:t>- ograničenju prava korištenja grobnih mjesta</w:t>
      </w:r>
    </w:p>
    <w:p w14:paraId="06FF9BE9" w14:textId="77777777" w:rsidR="00F23EC9" w:rsidRDefault="00D91B65">
      <w:pPr>
        <w:jc w:val="both"/>
        <w:rPr>
          <w:sz w:val="24"/>
          <w:szCs w:val="24"/>
        </w:rPr>
      </w:pPr>
      <w:r>
        <w:rPr>
          <w:rFonts w:ascii="Times New Roman" w:hAnsi="Times New Roman" w:cs="Times New Roman"/>
          <w:sz w:val="24"/>
          <w:szCs w:val="24"/>
        </w:rPr>
        <w:tab/>
        <w:t>- korisnicima grobnih mjesta</w:t>
      </w:r>
    </w:p>
    <w:p w14:paraId="170CFEA8" w14:textId="77777777" w:rsidR="00F23EC9" w:rsidRDefault="00D91B65">
      <w:pPr>
        <w:jc w:val="both"/>
        <w:rPr>
          <w:sz w:val="24"/>
          <w:szCs w:val="24"/>
        </w:rPr>
      </w:pPr>
      <w:r>
        <w:rPr>
          <w:rFonts w:ascii="Times New Roman" w:hAnsi="Times New Roman" w:cs="Times New Roman"/>
          <w:sz w:val="24"/>
          <w:szCs w:val="24"/>
        </w:rPr>
        <w:tab/>
        <w:t>- osnovi stjecanja prava korištenja</w:t>
      </w:r>
    </w:p>
    <w:p w14:paraId="689231AB" w14:textId="77777777" w:rsidR="00F23EC9" w:rsidRDefault="00D91B65">
      <w:pPr>
        <w:jc w:val="both"/>
        <w:rPr>
          <w:sz w:val="24"/>
          <w:szCs w:val="24"/>
        </w:rPr>
      </w:pPr>
      <w:r>
        <w:rPr>
          <w:rFonts w:ascii="Times New Roman" w:hAnsi="Times New Roman" w:cs="Times New Roman"/>
          <w:sz w:val="24"/>
          <w:szCs w:val="24"/>
        </w:rPr>
        <w:tab/>
        <w:t>- lokaciji grobnog mjesta ako se ono nalazi izvan groblja</w:t>
      </w:r>
    </w:p>
    <w:p w14:paraId="4B8867A1" w14:textId="77777777" w:rsidR="00F23EC9" w:rsidRDefault="00D91B65">
      <w:pPr>
        <w:jc w:val="both"/>
        <w:rPr>
          <w:sz w:val="24"/>
          <w:szCs w:val="24"/>
        </w:rPr>
      </w:pPr>
      <w:r>
        <w:rPr>
          <w:rFonts w:ascii="Times New Roman" w:hAnsi="Times New Roman" w:cs="Times New Roman"/>
          <w:sz w:val="24"/>
          <w:szCs w:val="24"/>
        </w:rPr>
        <w:lastRenderedPageBreak/>
        <w:tab/>
        <w:t>- imenu i prezimenu, imenu oca te OIB-u umrle osobe, adresi, datumu rođenja i smrti, vjeroispovijesti, datumu pogreba, broju i oznaci groba te datumu i mjestu ekshumacije</w:t>
      </w:r>
    </w:p>
    <w:p w14:paraId="4AFC64A7" w14:textId="77777777" w:rsidR="00F23EC9" w:rsidRDefault="00D91B65">
      <w:pPr>
        <w:jc w:val="both"/>
        <w:rPr>
          <w:sz w:val="24"/>
          <w:szCs w:val="24"/>
        </w:rPr>
      </w:pPr>
      <w:r>
        <w:rPr>
          <w:rFonts w:ascii="Times New Roman" w:hAnsi="Times New Roman" w:cs="Times New Roman"/>
          <w:sz w:val="24"/>
          <w:szCs w:val="24"/>
        </w:rPr>
        <w:tab/>
        <w:t>- pogrebniku koji je dopremio tijelo umrle osobe te o pogrebniku koji je, nakon</w:t>
      </w:r>
    </w:p>
    <w:p w14:paraId="4FAE3A5A" w14:textId="77777777" w:rsidR="00F23EC9" w:rsidRDefault="00D91B65">
      <w:pPr>
        <w:jc w:val="both"/>
        <w:rPr>
          <w:sz w:val="24"/>
          <w:szCs w:val="24"/>
        </w:rPr>
      </w:pPr>
      <w:r>
        <w:rPr>
          <w:rFonts w:ascii="Times New Roman" w:hAnsi="Times New Roman" w:cs="Times New Roman"/>
          <w:sz w:val="24"/>
          <w:szCs w:val="24"/>
        </w:rPr>
        <w:t xml:space="preserve">              ekshumacije, preuzeo tijelo umrle osobe radi prijevoza na drugo groblje</w:t>
      </w:r>
    </w:p>
    <w:p w14:paraId="6A0166CF" w14:textId="77777777" w:rsidR="00F23EC9" w:rsidRDefault="00D91B65">
      <w:pPr>
        <w:jc w:val="both"/>
        <w:rPr>
          <w:sz w:val="24"/>
          <w:szCs w:val="24"/>
        </w:rPr>
      </w:pPr>
      <w:r>
        <w:rPr>
          <w:rFonts w:ascii="Times New Roman" w:hAnsi="Times New Roman" w:cs="Times New Roman"/>
          <w:sz w:val="24"/>
          <w:szCs w:val="24"/>
        </w:rPr>
        <w:tab/>
        <w:t>- svim promjenama podataka</w:t>
      </w:r>
    </w:p>
    <w:p w14:paraId="52D2046A" w14:textId="77777777" w:rsidR="00F23EC9" w:rsidRDefault="00D91B65">
      <w:pPr>
        <w:jc w:val="both"/>
        <w:rPr>
          <w:sz w:val="24"/>
          <w:szCs w:val="24"/>
        </w:rPr>
      </w:pPr>
      <w:r>
        <w:rPr>
          <w:rFonts w:ascii="Times New Roman" w:hAnsi="Times New Roman" w:cs="Times New Roman"/>
          <w:sz w:val="24"/>
          <w:szCs w:val="24"/>
        </w:rPr>
        <w:tab/>
        <w:t>- uzroku smrti.</w:t>
      </w:r>
    </w:p>
    <w:p w14:paraId="5E0041F4" w14:textId="77777777" w:rsidR="00F23EC9" w:rsidRDefault="00D91B65">
      <w:pPr>
        <w:jc w:val="both"/>
        <w:rPr>
          <w:sz w:val="24"/>
          <w:szCs w:val="24"/>
        </w:rPr>
      </w:pPr>
      <w:r>
        <w:rPr>
          <w:rFonts w:ascii="Times New Roman" w:hAnsi="Times New Roman" w:cs="Times New Roman"/>
          <w:sz w:val="24"/>
          <w:szCs w:val="24"/>
        </w:rPr>
        <w:t>Dio grobnog očevidnika iz stavka 1. ovog članka je položajni plan svih grobnih mjesta i pratećih građevina.</w:t>
      </w:r>
    </w:p>
    <w:p w14:paraId="4AEF199D" w14:textId="77777777" w:rsidR="00F23EC9" w:rsidRDefault="00D91B65">
      <w:pPr>
        <w:jc w:val="center"/>
        <w:rPr>
          <w:sz w:val="24"/>
          <w:szCs w:val="24"/>
        </w:rPr>
      </w:pPr>
      <w:r>
        <w:rPr>
          <w:rFonts w:ascii="Times New Roman" w:hAnsi="Times New Roman" w:cs="Times New Roman"/>
          <w:sz w:val="24"/>
          <w:szCs w:val="24"/>
        </w:rPr>
        <w:t>Članak 21.</w:t>
      </w:r>
    </w:p>
    <w:p w14:paraId="51B66C0F" w14:textId="77777777" w:rsidR="00F23EC9" w:rsidRDefault="00D91B65">
      <w:pPr>
        <w:jc w:val="both"/>
        <w:rPr>
          <w:sz w:val="24"/>
          <w:szCs w:val="24"/>
        </w:rPr>
      </w:pPr>
      <w:r>
        <w:rPr>
          <w:rFonts w:ascii="Times New Roman" w:hAnsi="Times New Roman" w:cs="Times New Roman"/>
          <w:sz w:val="24"/>
          <w:szCs w:val="24"/>
        </w:rPr>
        <w:t xml:space="preserve">Upravitelj groblja dužan je uz svaki grobni očevidnik voditi i registar umrlih osoba. </w:t>
      </w:r>
    </w:p>
    <w:p w14:paraId="5E5C54FD" w14:textId="77777777" w:rsidR="00F23EC9" w:rsidRDefault="00D91B65">
      <w:pPr>
        <w:jc w:val="both"/>
        <w:rPr>
          <w:sz w:val="24"/>
          <w:szCs w:val="24"/>
        </w:rPr>
      </w:pPr>
      <w:r>
        <w:rPr>
          <w:rFonts w:ascii="Times New Roman" w:hAnsi="Times New Roman" w:cs="Times New Roman"/>
          <w:sz w:val="24"/>
          <w:szCs w:val="24"/>
        </w:rPr>
        <w:t>Registar umrlih osoba pohranjuje se i trajno čuva.</w:t>
      </w:r>
    </w:p>
    <w:p w14:paraId="17354A13" w14:textId="77777777" w:rsidR="00F23EC9" w:rsidRDefault="00F23EC9">
      <w:pPr>
        <w:jc w:val="both"/>
        <w:rPr>
          <w:rFonts w:ascii="Times New Roman" w:hAnsi="Times New Roman" w:cs="Times New Roman"/>
          <w:sz w:val="24"/>
          <w:szCs w:val="24"/>
        </w:rPr>
      </w:pPr>
    </w:p>
    <w:p w14:paraId="72677E69" w14:textId="77777777" w:rsidR="00F23EC9" w:rsidRDefault="00D91B65">
      <w:pPr>
        <w:jc w:val="center"/>
        <w:rPr>
          <w:sz w:val="24"/>
          <w:szCs w:val="24"/>
        </w:rPr>
      </w:pPr>
      <w:r>
        <w:rPr>
          <w:rFonts w:ascii="Times New Roman" w:hAnsi="Times New Roman" w:cs="Times New Roman"/>
          <w:sz w:val="24"/>
          <w:szCs w:val="24"/>
        </w:rPr>
        <w:t>Članak 22.</w:t>
      </w:r>
    </w:p>
    <w:p w14:paraId="0769753D" w14:textId="77777777" w:rsidR="00F23EC9" w:rsidRDefault="00D91B65">
      <w:pPr>
        <w:jc w:val="both"/>
        <w:rPr>
          <w:sz w:val="24"/>
          <w:szCs w:val="24"/>
        </w:rPr>
      </w:pPr>
      <w:r>
        <w:rPr>
          <w:rFonts w:ascii="Times New Roman" w:hAnsi="Times New Roman" w:cs="Times New Roman"/>
          <w:sz w:val="24"/>
          <w:szCs w:val="24"/>
        </w:rPr>
        <w:t>Grobni očevidnik i registar umrlih osoba vodi se u digitalnom obliku ili u obliku knjige.</w:t>
      </w:r>
    </w:p>
    <w:p w14:paraId="73C358A2" w14:textId="77777777" w:rsidR="00F23EC9" w:rsidRDefault="00F23EC9">
      <w:pPr>
        <w:jc w:val="both"/>
        <w:rPr>
          <w:rFonts w:ascii="Times New Roman" w:hAnsi="Times New Roman" w:cs="Times New Roman"/>
          <w:sz w:val="24"/>
          <w:szCs w:val="24"/>
        </w:rPr>
      </w:pPr>
    </w:p>
    <w:p w14:paraId="282C36E3" w14:textId="77777777" w:rsidR="00F23EC9" w:rsidRDefault="00D91B65">
      <w:pPr>
        <w:pStyle w:val="Odlomakpopisa"/>
        <w:numPr>
          <w:ilvl w:val="0"/>
          <w:numId w:val="1"/>
        </w:numPr>
        <w:jc w:val="both"/>
        <w:rPr>
          <w:sz w:val="24"/>
          <w:szCs w:val="24"/>
        </w:rPr>
      </w:pPr>
      <w:r>
        <w:rPr>
          <w:rFonts w:ascii="Times New Roman" w:hAnsi="Times New Roman" w:cs="Times New Roman"/>
          <w:sz w:val="24"/>
          <w:szCs w:val="24"/>
        </w:rPr>
        <w:t>UTVRĐIVANJE USKLAĐENOSTI IZGLEDA GROBNOG MJESTA I SPOMEN OBILJEŽJA</w:t>
      </w:r>
    </w:p>
    <w:p w14:paraId="43427C01" w14:textId="77777777" w:rsidR="00F23EC9" w:rsidRDefault="00D91B65">
      <w:pPr>
        <w:jc w:val="center"/>
        <w:rPr>
          <w:sz w:val="24"/>
          <w:szCs w:val="24"/>
        </w:rPr>
      </w:pPr>
      <w:r>
        <w:rPr>
          <w:rFonts w:ascii="Times New Roman" w:hAnsi="Times New Roman" w:cs="Times New Roman"/>
          <w:sz w:val="24"/>
          <w:szCs w:val="24"/>
        </w:rPr>
        <w:t>Članak 23.</w:t>
      </w:r>
    </w:p>
    <w:p w14:paraId="689C0E86" w14:textId="5116C08C" w:rsidR="00F23EC9" w:rsidRDefault="00D91B65">
      <w:pPr>
        <w:jc w:val="both"/>
        <w:rPr>
          <w:sz w:val="24"/>
          <w:szCs w:val="24"/>
        </w:rPr>
      </w:pPr>
      <w:r>
        <w:rPr>
          <w:rFonts w:ascii="Times New Roman" w:hAnsi="Times New Roman" w:cs="Times New Roman"/>
          <w:sz w:val="24"/>
          <w:szCs w:val="24"/>
        </w:rPr>
        <w:t>Bez obzira na to nalaze li se oprema i uređaji grobnog mjesta i spomen</w:t>
      </w:r>
      <w:r>
        <w:rPr>
          <w:rFonts w:ascii="Times New Roman" w:hAnsi="Times New Roman" w:cs="Times New Roman"/>
          <w:sz w:val="24"/>
          <w:szCs w:val="24"/>
        </w:rPr>
        <w:t>-</w:t>
      </w:r>
      <w:r>
        <w:rPr>
          <w:rFonts w:ascii="Times New Roman" w:hAnsi="Times New Roman" w:cs="Times New Roman"/>
          <w:sz w:val="24"/>
          <w:szCs w:val="24"/>
        </w:rPr>
        <w:t>obilježja unutar ili izvan područja groblja, zabranjeno je:</w:t>
      </w:r>
    </w:p>
    <w:p w14:paraId="45E6148E" w14:textId="47AF9765" w:rsidR="00F23EC9" w:rsidRDefault="00D91B65">
      <w:pPr>
        <w:jc w:val="both"/>
        <w:rPr>
          <w:sz w:val="24"/>
          <w:szCs w:val="24"/>
        </w:rPr>
      </w:pPr>
      <w:r>
        <w:rPr>
          <w:rFonts w:ascii="Times New Roman" w:hAnsi="Times New Roman" w:cs="Times New Roman"/>
          <w:sz w:val="24"/>
          <w:szCs w:val="24"/>
        </w:rPr>
        <w:t>-opremom i uređajima grobnog mjesta i spomen</w:t>
      </w:r>
      <w:r>
        <w:rPr>
          <w:rFonts w:ascii="Times New Roman" w:hAnsi="Times New Roman" w:cs="Times New Roman"/>
          <w:sz w:val="24"/>
          <w:szCs w:val="24"/>
        </w:rPr>
        <w:t>-</w:t>
      </w:r>
      <w:r>
        <w:rPr>
          <w:rFonts w:ascii="Times New Roman" w:hAnsi="Times New Roman" w:cs="Times New Roman"/>
          <w:sz w:val="24"/>
          <w:szCs w:val="24"/>
        </w:rPr>
        <w:t>obilježja vrijeđati nacionalne, vjerske ili moralne osjećaje građana (</w:t>
      </w:r>
      <w:r w:rsidR="007A5BDC" w:rsidRPr="007A5BDC">
        <w:rPr>
          <w:rFonts w:ascii="Times New Roman" w:hAnsi="Times New Roman" w:cs="Times New Roman"/>
          <w:sz w:val="24"/>
          <w:szCs w:val="24"/>
        </w:rPr>
        <w:t>na način protivan Ustavu Republike Hrvatske, zakonu ili javnom moralu</w:t>
      </w:r>
      <w:r>
        <w:rPr>
          <w:rFonts w:ascii="Times New Roman" w:hAnsi="Times New Roman" w:cs="Times New Roman"/>
          <w:sz w:val="24"/>
          <w:szCs w:val="24"/>
        </w:rPr>
        <w:t>)</w:t>
      </w:r>
    </w:p>
    <w:p w14:paraId="26AF5850" w14:textId="3201A7F7" w:rsidR="00F23EC9" w:rsidRDefault="00D91B65">
      <w:pPr>
        <w:jc w:val="both"/>
        <w:rPr>
          <w:sz w:val="24"/>
          <w:szCs w:val="24"/>
        </w:rPr>
      </w:pPr>
      <w:r>
        <w:rPr>
          <w:rFonts w:ascii="Times New Roman" w:hAnsi="Times New Roman" w:cs="Times New Roman"/>
          <w:sz w:val="24"/>
          <w:szCs w:val="24"/>
        </w:rPr>
        <w:t>-opremom i uređajima grobnog mjesta i spomen</w:t>
      </w:r>
      <w:r>
        <w:rPr>
          <w:rFonts w:ascii="Times New Roman" w:hAnsi="Times New Roman" w:cs="Times New Roman"/>
          <w:sz w:val="24"/>
          <w:szCs w:val="24"/>
        </w:rPr>
        <w:t>-</w:t>
      </w:r>
      <w:r>
        <w:rPr>
          <w:rFonts w:ascii="Times New Roman" w:hAnsi="Times New Roman" w:cs="Times New Roman"/>
          <w:sz w:val="24"/>
          <w:szCs w:val="24"/>
        </w:rPr>
        <w:t>obilježjima vrijeđati vrijednost obrambenog Domovinskog rata ili na bilo koji način veličati agresiju na Republiku Hrvatsku ili oružanu pobunu protiv Republike Hrvatske tijekom domovinskog rata ili sudionike u toj pobuni</w:t>
      </w:r>
    </w:p>
    <w:p w14:paraId="2FDBCEE7" w14:textId="742FD98B" w:rsidR="00F23EC9" w:rsidRDefault="00D91B65">
      <w:pPr>
        <w:jc w:val="both"/>
        <w:rPr>
          <w:sz w:val="24"/>
          <w:szCs w:val="24"/>
        </w:rPr>
      </w:pPr>
      <w:r>
        <w:rPr>
          <w:rFonts w:ascii="Times New Roman" w:hAnsi="Times New Roman" w:cs="Times New Roman"/>
          <w:sz w:val="24"/>
          <w:szCs w:val="24"/>
        </w:rPr>
        <w:t>-uređajima i opremom grobnog mjesta i spomen</w:t>
      </w:r>
      <w:r>
        <w:rPr>
          <w:rFonts w:ascii="Times New Roman" w:hAnsi="Times New Roman" w:cs="Times New Roman"/>
          <w:sz w:val="24"/>
          <w:szCs w:val="24"/>
        </w:rPr>
        <w:t>-</w:t>
      </w:r>
      <w:r>
        <w:rPr>
          <w:rFonts w:ascii="Times New Roman" w:hAnsi="Times New Roman" w:cs="Times New Roman"/>
          <w:sz w:val="24"/>
          <w:szCs w:val="24"/>
        </w:rPr>
        <w:t>obilježja na bilo koji način povrijediti uspomenu na umrlu osobu.</w:t>
      </w:r>
    </w:p>
    <w:p w14:paraId="1E9D4598" w14:textId="77777777" w:rsidR="00F23EC9" w:rsidRDefault="00D91B65">
      <w:pPr>
        <w:jc w:val="both"/>
        <w:rPr>
          <w:sz w:val="24"/>
          <w:szCs w:val="24"/>
        </w:rPr>
      </w:pPr>
      <w:r>
        <w:rPr>
          <w:rFonts w:ascii="Times New Roman" w:hAnsi="Times New Roman" w:cs="Times New Roman"/>
          <w:sz w:val="24"/>
          <w:szCs w:val="24"/>
        </w:rPr>
        <w:t>Natpisi na grobovima i grobnicama osoba koje su zadužile Republiku Hrvatsku ili hrvatski narod trebaju biti ispisani tekstom koji točno i dolično objašnjavaju njihovu ulogu u životu hrvatskog naroda, ako postojeći natpisi, ispisivani u vrijeme represivnih režima, nisu u tom smislu cjeloviti.</w:t>
      </w:r>
    </w:p>
    <w:p w14:paraId="12838B3F" w14:textId="6EC1746E" w:rsidR="00F23EC9" w:rsidRDefault="00D91B65">
      <w:pPr>
        <w:jc w:val="both"/>
        <w:rPr>
          <w:sz w:val="24"/>
          <w:szCs w:val="24"/>
        </w:rPr>
      </w:pPr>
      <w:r>
        <w:rPr>
          <w:rFonts w:ascii="Times New Roman" w:hAnsi="Times New Roman" w:cs="Times New Roman"/>
          <w:sz w:val="24"/>
          <w:szCs w:val="24"/>
        </w:rPr>
        <w:t>Upravni odjel za financije i gospodarstvo nadležan je za vođenje upravnih postupaka u kojima se odlučuje o usklađenosti izgleda grobnog mjesta i spomen</w:t>
      </w:r>
      <w:r>
        <w:rPr>
          <w:rFonts w:ascii="Times New Roman" w:hAnsi="Times New Roman" w:cs="Times New Roman"/>
          <w:sz w:val="24"/>
          <w:szCs w:val="24"/>
        </w:rPr>
        <w:t>–</w:t>
      </w:r>
      <w:r>
        <w:rPr>
          <w:rFonts w:ascii="Times New Roman" w:hAnsi="Times New Roman" w:cs="Times New Roman"/>
          <w:sz w:val="24"/>
          <w:szCs w:val="24"/>
        </w:rPr>
        <w:t>obilježja s odredbama ove Odluke i zakona kojima se uređuju groblja.</w:t>
      </w:r>
    </w:p>
    <w:p w14:paraId="5B81BE1C" w14:textId="77777777" w:rsidR="00F23EC9" w:rsidRDefault="00D91B65">
      <w:pPr>
        <w:jc w:val="both"/>
        <w:rPr>
          <w:sz w:val="24"/>
          <w:szCs w:val="24"/>
        </w:rPr>
      </w:pPr>
      <w:r>
        <w:rPr>
          <w:rFonts w:ascii="Times New Roman" w:hAnsi="Times New Roman" w:cs="Times New Roman"/>
          <w:sz w:val="24"/>
          <w:szCs w:val="24"/>
        </w:rPr>
        <w:t>Postupak iz stavka 1. ovog članka pokreće se po službenoj dužnosti ili na zahtjev Upravitelja groblja.</w:t>
      </w:r>
    </w:p>
    <w:p w14:paraId="1B672A4A" w14:textId="292C636B" w:rsidR="00F23EC9" w:rsidRDefault="00D91B65">
      <w:pPr>
        <w:jc w:val="both"/>
        <w:rPr>
          <w:sz w:val="24"/>
          <w:szCs w:val="24"/>
        </w:rPr>
      </w:pPr>
      <w:r>
        <w:rPr>
          <w:rFonts w:ascii="Times New Roman" w:hAnsi="Times New Roman" w:cs="Times New Roman"/>
          <w:sz w:val="24"/>
          <w:szCs w:val="24"/>
        </w:rPr>
        <w:t xml:space="preserve">Ako su oprema i uređaji grobnog mjesta i spomen </w:t>
      </w:r>
      <w:r>
        <w:rPr>
          <w:rFonts w:ascii="Times New Roman" w:hAnsi="Times New Roman" w:cs="Times New Roman"/>
          <w:sz w:val="24"/>
          <w:szCs w:val="24"/>
        </w:rPr>
        <w:t>obilježja u suprotnosti s odredbom Zakona kojim se uređuju groblja ili ove Odluke, upravitelj groblja dužan je u roku od 30 dana od dana saznanja podnijeti zahtjev za pokretanje postupka radi usklađivanja.</w:t>
      </w:r>
    </w:p>
    <w:p w14:paraId="5FCE24DC" w14:textId="77777777" w:rsidR="00F23EC9" w:rsidRDefault="00F23EC9">
      <w:pPr>
        <w:jc w:val="both"/>
        <w:rPr>
          <w:rFonts w:ascii="Times New Roman" w:hAnsi="Times New Roman" w:cs="Times New Roman"/>
          <w:sz w:val="24"/>
          <w:szCs w:val="24"/>
        </w:rPr>
      </w:pPr>
    </w:p>
    <w:p w14:paraId="0268ECCF" w14:textId="77777777" w:rsidR="00F23EC9" w:rsidRDefault="00D91B65">
      <w:pPr>
        <w:pStyle w:val="Odlomakpopisa"/>
        <w:numPr>
          <w:ilvl w:val="0"/>
          <w:numId w:val="1"/>
        </w:numPr>
        <w:jc w:val="both"/>
        <w:rPr>
          <w:sz w:val="24"/>
          <w:szCs w:val="24"/>
        </w:rPr>
      </w:pPr>
      <w:r>
        <w:rPr>
          <w:rFonts w:ascii="Times New Roman" w:hAnsi="Times New Roman" w:cs="Times New Roman"/>
          <w:sz w:val="24"/>
          <w:szCs w:val="24"/>
        </w:rPr>
        <w:t>NAČIN UKOPA UMRLIH NEPOZNATIH OSOBA TE UMRLIH HRVATSKIH RATNIH VOJNIH INVALIDA I HRVATSKIH BRANITELJA IZ DOMOVINSKOG RATA</w:t>
      </w:r>
    </w:p>
    <w:p w14:paraId="0E516F5C" w14:textId="77777777" w:rsidR="00F23EC9" w:rsidRDefault="00D91B65">
      <w:pPr>
        <w:jc w:val="center"/>
        <w:rPr>
          <w:sz w:val="24"/>
          <w:szCs w:val="24"/>
        </w:rPr>
      </w:pPr>
      <w:r>
        <w:rPr>
          <w:rFonts w:ascii="Times New Roman" w:hAnsi="Times New Roman" w:cs="Times New Roman"/>
          <w:sz w:val="24"/>
          <w:szCs w:val="24"/>
        </w:rPr>
        <w:t>Članak 24.</w:t>
      </w:r>
    </w:p>
    <w:p w14:paraId="6529CBB4" w14:textId="77777777" w:rsidR="00F23EC9" w:rsidRDefault="00D91B65">
      <w:pPr>
        <w:jc w:val="both"/>
        <w:rPr>
          <w:sz w:val="24"/>
          <w:szCs w:val="24"/>
        </w:rPr>
      </w:pPr>
      <w:r>
        <w:rPr>
          <w:rFonts w:ascii="Times New Roman" w:hAnsi="Times New Roman" w:cs="Times New Roman"/>
          <w:sz w:val="24"/>
          <w:szCs w:val="24"/>
        </w:rPr>
        <w:t>Nepoznate osobe ukopat će se na groblju na način uobičajen mjesnim prilikama, osiguravajući pritom dostupne podatke o nepoznatoj osobi (dob, spol, datum smrti) na odgovarajući način.</w:t>
      </w:r>
    </w:p>
    <w:p w14:paraId="0F789A7A" w14:textId="77777777" w:rsidR="00F23EC9" w:rsidRDefault="00D91B65">
      <w:pPr>
        <w:jc w:val="both"/>
        <w:rPr>
          <w:sz w:val="24"/>
          <w:szCs w:val="24"/>
        </w:rPr>
      </w:pPr>
      <w:r>
        <w:rPr>
          <w:rFonts w:ascii="Times New Roman" w:hAnsi="Times New Roman" w:cs="Times New Roman"/>
          <w:sz w:val="24"/>
          <w:szCs w:val="24"/>
        </w:rPr>
        <w:lastRenderedPageBreak/>
        <w:t>Ukop iz prethodnog stavka obavit će se nakon što nadležna tijela izvrše odgovarajuće radnje i izdaju odgovarajuća odobrenja prema mjesnim običajima, uz iskazivanje odgovarajućeg poštovanja prema umrlom.</w:t>
      </w:r>
    </w:p>
    <w:p w14:paraId="20CAE4E2" w14:textId="77777777" w:rsidR="00F23EC9" w:rsidRDefault="00D91B65">
      <w:pPr>
        <w:jc w:val="both"/>
        <w:rPr>
          <w:sz w:val="24"/>
          <w:szCs w:val="24"/>
        </w:rPr>
      </w:pPr>
      <w:r>
        <w:rPr>
          <w:rFonts w:ascii="Times New Roman" w:hAnsi="Times New Roman" w:cs="Times New Roman"/>
          <w:sz w:val="24"/>
          <w:szCs w:val="24"/>
        </w:rPr>
        <w:t>Ukop nepoznatih osoba izvršit će se na dijelu groblja označenom u Planu uređenja groblja, rasporeda i korištenja grobnih mjesta kojeg odredi Upravitelj groblja (zajednička grobnica ili opće polje).</w:t>
      </w:r>
    </w:p>
    <w:p w14:paraId="22BB6C2C" w14:textId="77777777" w:rsidR="00F23EC9" w:rsidRDefault="00D91B65">
      <w:pPr>
        <w:jc w:val="both"/>
        <w:rPr>
          <w:sz w:val="24"/>
          <w:szCs w:val="24"/>
        </w:rPr>
      </w:pPr>
      <w:r>
        <w:rPr>
          <w:rFonts w:ascii="Times New Roman" w:hAnsi="Times New Roman" w:cs="Times New Roman"/>
          <w:sz w:val="24"/>
          <w:szCs w:val="24"/>
        </w:rPr>
        <w:t>Trošak pogreba nepoznate osobe snosi Grad Pregrada.</w:t>
      </w:r>
    </w:p>
    <w:p w14:paraId="0B31A50F" w14:textId="77777777" w:rsidR="00F23EC9" w:rsidRDefault="00F23EC9">
      <w:pPr>
        <w:jc w:val="both"/>
        <w:rPr>
          <w:rFonts w:cs="Times New Roman"/>
          <w:sz w:val="24"/>
          <w:szCs w:val="24"/>
        </w:rPr>
      </w:pPr>
    </w:p>
    <w:p w14:paraId="0A95F875" w14:textId="77777777" w:rsidR="00F23EC9" w:rsidRDefault="00D91B65">
      <w:pPr>
        <w:pStyle w:val="Odlomakpopisa"/>
        <w:numPr>
          <w:ilvl w:val="0"/>
          <w:numId w:val="1"/>
        </w:numPr>
        <w:jc w:val="both"/>
        <w:rPr>
          <w:sz w:val="24"/>
          <w:szCs w:val="24"/>
        </w:rPr>
      </w:pPr>
      <w:r>
        <w:rPr>
          <w:rFonts w:ascii="Times New Roman" w:hAnsi="Times New Roman" w:cs="Times New Roman"/>
          <w:sz w:val="24"/>
          <w:szCs w:val="24"/>
        </w:rPr>
        <w:t>ODRŽAVANJE I UREĐIVANJE GROBLJA TE UKLANJANJE OTPADA</w:t>
      </w:r>
    </w:p>
    <w:p w14:paraId="36696956" w14:textId="77777777" w:rsidR="00F23EC9" w:rsidRDefault="00D91B65">
      <w:pPr>
        <w:jc w:val="center"/>
        <w:rPr>
          <w:sz w:val="24"/>
          <w:szCs w:val="24"/>
        </w:rPr>
      </w:pPr>
      <w:r>
        <w:rPr>
          <w:rFonts w:ascii="Times New Roman" w:hAnsi="Times New Roman" w:cs="Times New Roman"/>
          <w:sz w:val="24"/>
          <w:szCs w:val="24"/>
        </w:rPr>
        <w:t>Članak 25.</w:t>
      </w:r>
    </w:p>
    <w:p w14:paraId="04FAD100" w14:textId="77777777" w:rsidR="00F23EC9" w:rsidRDefault="00D91B65">
      <w:pPr>
        <w:jc w:val="both"/>
        <w:rPr>
          <w:rFonts w:ascii="Times New Roman" w:hAnsi="Times New Roman"/>
          <w:sz w:val="24"/>
          <w:szCs w:val="24"/>
        </w:rPr>
      </w:pPr>
      <w:r>
        <w:rPr>
          <w:rFonts w:ascii="Times New Roman" w:hAnsi="Times New Roman"/>
          <w:sz w:val="24"/>
          <w:szCs w:val="24"/>
        </w:rPr>
        <w:t>Upravitelj groblja dužan je osigurati davanje na korištenje grobnih mjesta za umrle hrvatske ratne vojne invalide iz Domovinskog rata i za umrle hrvatske branitelje iz Domovinskog rata sukladno posebnom propisu kojim se utvrđuju prava hrvatskih branitelja iz Domovinskog rata.</w:t>
      </w:r>
    </w:p>
    <w:p w14:paraId="2530AECA" w14:textId="77777777" w:rsidR="00F23EC9" w:rsidRDefault="00D91B65">
      <w:pPr>
        <w:jc w:val="center"/>
        <w:rPr>
          <w:rFonts w:ascii="Times New Roman" w:hAnsi="Times New Roman"/>
          <w:sz w:val="24"/>
          <w:szCs w:val="24"/>
        </w:rPr>
      </w:pPr>
      <w:r>
        <w:rPr>
          <w:rFonts w:ascii="Times New Roman" w:hAnsi="Times New Roman"/>
          <w:sz w:val="24"/>
          <w:szCs w:val="24"/>
        </w:rPr>
        <w:t>Članak 26.</w:t>
      </w:r>
    </w:p>
    <w:p w14:paraId="57AE414A" w14:textId="77777777" w:rsidR="00F23EC9" w:rsidRDefault="00D91B65">
      <w:pPr>
        <w:jc w:val="both"/>
        <w:rPr>
          <w:sz w:val="24"/>
          <w:szCs w:val="24"/>
        </w:rPr>
      </w:pPr>
      <w:r>
        <w:rPr>
          <w:rFonts w:ascii="Times New Roman" w:hAnsi="Times New Roman" w:cs="Times New Roman"/>
          <w:sz w:val="24"/>
          <w:szCs w:val="24"/>
        </w:rPr>
        <w:t>Groblja održava Upravitelj groblja.</w:t>
      </w:r>
    </w:p>
    <w:p w14:paraId="530B9FC7" w14:textId="77777777" w:rsidR="00F23EC9" w:rsidRDefault="00D91B65">
      <w:pPr>
        <w:jc w:val="both"/>
        <w:rPr>
          <w:sz w:val="24"/>
          <w:szCs w:val="24"/>
        </w:rPr>
      </w:pPr>
      <w:r>
        <w:rPr>
          <w:rFonts w:ascii="Times New Roman" w:hAnsi="Times New Roman" w:cs="Times New Roman"/>
          <w:sz w:val="24"/>
          <w:szCs w:val="24"/>
        </w:rPr>
        <w:t>Pod održavanjem groblja, u smislu ove Odluke, podrazumijeva se uređenje i čišćenje zajedničkih dijelova groblja, zemljišta, staza i puteva na groblju od otpada, održavanje pratećih građevina sukladno zakonu kojim se uređuju groblja te sadnja i održavanje zelenila.</w:t>
      </w:r>
    </w:p>
    <w:p w14:paraId="7FFD84B5" w14:textId="77777777" w:rsidR="00F23EC9" w:rsidRDefault="00D91B65">
      <w:pPr>
        <w:jc w:val="both"/>
        <w:rPr>
          <w:sz w:val="24"/>
          <w:szCs w:val="24"/>
        </w:rPr>
      </w:pPr>
      <w:r>
        <w:rPr>
          <w:rFonts w:ascii="Times New Roman" w:hAnsi="Times New Roman" w:cs="Times New Roman"/>
          <w:sz w:val="24"/>
          <w:szCs w:val="24"/>
        </w:rPr>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3BD917C7" w14:textId="77777777" w:rsidR="00F23EC9" w:rsidRDefault="00D91B65">
      <w:pPr>
        <w:jc w:val="both"/>
        <w:rPr>
          <w:sz w:val="24"/>
          <w:szCs w:val="24"/>
        </w:rPr>
      </w:pPr>
      <w:r>
        <w:rPr>
          <w:rFonts w:ascii="Times New Roman" w:hAnsi="Times New Roman" w:cs="Times New Roman"/>
          <w:sz w:val="24"/>
          <w:szCs w:val="24"/>
        </w:rPr>
        <w:t>Održavanje groblja obavlja se u skladu s tehničkim i sanitarnim propisima, pravilima o zaštiti okoliša te krajobraznim i estetskim vrijednostima.</w:t>
      </w:r>
    </w:p>
    <w:p w14:paraId="1272093C" w14:textId="77777777" w:rsidR="00F23EC9" w:rsidRDefault="00F23EC9">
      <w:pPr>
        <w:jc w:val="both"/>
        <w:rPr>
          <w:sz w:val="24"/>
          <w:szCs w:val="24"/>
        </w:rPr>
      </w:pPr>
    </w:p>
    <w:p w14:paraId="3BD8F167" w14:textId="77777777" w:rsidR="00F23EC9" w:rsidRDefault="00D91B65">
      <w:pPr>
        <w:jc w:val="center"/>
        <w:rPr>
          <w:sz w:val="24"/>
          <w:szCs w:val="24"/>
        </w:rPr>
      </w:pPr>
      <w:r>
        <w:rPr>
          <w:rFonts w:ascii="Times New Roman" w:hAnsi="Times New Roman" w:cs="Times New Roman"/>
          <w:sz w:val="24"/>
          <w:szCs w:val="24"/>
        </w:rPr>
        <w:t>Članak 27.</w:t>
      </w:r>
    </w:p>
    <w:p w14:paraId="0CB1D583" w14:textId="77777777" w:rsidR="00F23EC9" w:rsidRDefault="00D91B65">
      <w:pPr>
        <w:jc w:val="both"/>
        <w:rPr>
          <w:sz w:val="24"/>
          <w:szCs w:val="24"/>
        </w:rPr>
      </w:pPr>
      <w:r>
        <w:rPr>
          <w:rFonts w:ascii="Times New Roman" w:hAnsi="Times New Roman" w:cs="Times New Roman"/>
          <w:sz w:val="24"/>
          <w:szCs w:val="24"/>
        </w:rPr>
        <w:t>Upravitelj groblja dužan je poslove iz članka 26. ove Odluke obavljati kontinuirano na način da groblje uvijek bude uredno, a prostori građevina i oprema u funkcionalnom smislu ispravni, uredni i čisti.</w:t>
      </w:r>
    </w:p>
    <w:p w14:paraId="1D58B4F2" w14:textId="77777777" w:rsidR="00F23EC9" w:rsidRDefault="00D91B65">
      <w:pPr>
        <w:jc w:val="center"/>
        <w:rPr>
          <w:sz w:val="24"/>
          <w:szCs w:val="24"/>
        </w:rPr>
      </w:pPr>
      <w:r>
        <w:rPr>
          <w:rFonts w:ascii="Times New Roman" w:hAnsi="Times New Roman" w:cs="Times New Roman"/>
          <w:sz w:val="24"/>
          <w:szCs w:val="24"/>
        </w:rPr>
        <w:t>Članak 28.</w:t>
      </w:r>
    </w:p>
    <w:p w14:paraId="6F225DC9" w14:textId="77777777" w:rsidR="00F23EC9" w:rsidRDefault="00D91B65">
      <w:pPr>
        <w:jc w:val="both"/>
        <w:rPr>
          <w:sz w:val="24"/>
          <w:szCs w:val="24"/>
        </w:rPr>
      </w:pPr>
      <w:r>
        <w:rPr>
          <w:rFonts w:ascii="Times New Roman" w:hAnsi="Times New Roman" w:cs="Times New Roman"/>
          <w:sz w:val="24"/>
          <w:szCs w:val="24"/>
        </w:rPr>
        <w:t>Osim održavanja groblja iz članka 26. ove Odluke, Upravitelj groblja dužan je brinuti i o investicijskim ulaganjima u groblja te o proširenju groblja.</w:t>
      </w:r>
    </w:p>
    <w:p w14:paraId="1474D8DD" w14:textId="77777777" w:rsidR="00F23EC9" w:rsidRDefault="00D91B65">
      <w:pPr>
        <w:jc w:val="both"/>
        <w:rPr>
          <w:sz w:val="24"/>
          <w:szCs w:val="24"/>
        </w:rPr>
      </w:pPr>
      <w:r>
        <w:rPr>
          <w:rFonts w:ascii="Times New Roman" w:hAnsi="Times New Roman" w:cs="Times New Roman"/>
          <w:sz w:val="24"/>
          <w:szCs w:val="24"/>
        </w:rPr>
        <w:t>Pod investicijskim ulaganjima podrazumijeva se pribavljanje potrebne dokumentacije, izgradnja komunalne infrastrukture i ostalih građevina na prostoru groblja (putovi, staze, vodovod, hidrantska mreža, rasvjeta, ograde, objekti i ostalo).</w:t>
      </w:r>
    </w:p>
    <w:p w14:paraId="61B05F0A" w14:textId="77777777" w:rsidR="00F23EC9" w:rsidRDefault="00D91B65">
      <w:pPr>
        <w:jc w:val="both"/>
        <w:rPr>
          <w:sz w:val="24"/>
          <w:szCs w:val="24"/>
        </w:rPr>
      </w:pPr>
      <w:r>
        <w:rPr>
          <w:rFonts w:ascii="Times New Roman" w:hAnsi="Times New Roman" w:cs="Times New Roman"/>
          <w:sz w:val="24"/>
          <w:szCs w:val="24"/>
        </w:rPr>
        <w:t>Pod proširenjem groblja podrazumijeva se ishođenje potrebne dokumentacije, otkup potrebnog zemljišta, izgradnja komunalne infrastrukture i ostalih građevina na planiranom proširenom groblju.</w:t>
      </w:r>
    </w:p>
    <w:p w14:paraId="463AEAC8" w14:textId="77777777" w:rsidR="00F23EC9" w:rsidRDefault="00D91B65">
      <w:pPr>
        <w:jc w:val="center"/>
        <w:rPr>
          <w:sz w:val="24"/>
          <w:szCs w:val="24"/>
        </w:rPr>
      </w:pPr>
      <w:r>
        <w:rPr>
          <w:rFonts w:ascii="Times New Roman" w:hAnsi="Times New Roman" w:cs="Times New Roman"/>
          <w:sz w:val="24"/>
          <w:szCs w:val="24"/>
        </w:rPr>
        <w:t>Članak 29.</w:t>
      </w:r>
    </w:p>
    <w:p w14:paraId="5D4DE6ED" w14:textId="77777777" w:rsidR="00F23EC9" w:rsidRDefault="00D91B65">
      <w:pPr>
        <w:pStyle w:val="Tijeloteksta"/>
        <w:spacing w:line="240" w:lineRule="auto"/>
        <w:jc w:val="both"/>
        <w:rPr>
          <w:sz w:val="24"/>
          <w:szCs w:val="24"/>
        </w:rPr>
      </w:pPr>
      <w:r>
        <w:rPr>
          <w:rFonts w:ascii="Times New Roman" w:hAnsi="Times New Roman"/>
          <w:sz w:val="24"/>
          <w:szCs w:val="24"/>
        </w:rPr>
        <w:t>Ako se grobna mjesta ne održavaju u skladu s propisima kojima se uređuje održavanje groblja, upravitelj groblja obvezan je u roku od 30 dana od saznanja za tu okolnost odlukom naložiti korisniku grobnog mjesta da uredi grobno mjesto.</w:t>
      </w:r>
    </w:p>
    <w:p w14:paraId="10A0FDFF" w14:textId="77777777" w:rsidR="00F23EC9" w:rsidRDefault="00D91B65">
      <w:pPr>
        <w:pStyle w:val="Tijeloteksta"/>
        <w:spacing w:after="108" w:line="240" w:lineRule="auto"/>
        <w:jc w:val="both"/>
        <w:rPr>
          <w:sz w:val="24"/>
          <w:szCs w:val="24"/>
        </w:rPr>
      </w:pPr>
      <w:r>
        <w:rPr>
          <w:rFonts w:ascii="Times New Roman" w:hAnsi="Times New Roman"/>
          <w:sz w:val="24"/>
          <w:szCs w:val="24"/>
        </w:rPr>
        <w:t>Korisnik grobnog mjesta obvezan je postupiti po odluci iz stavka 1. ovoga članka u roku od 15 dana od dana zaprimanja te odluke.</w:t>
      </w:r>
    </w:p>
    <w:p w14:paraId="0B3CE8B2" w14:textId="77777777" w:rsidR="00F23EC9" w:rsidRDefault="00D91B65">
      <w:pPr>
        <w:pStyle w:val="Tijeloteksta"/>
        <w:spacing w:after="108" w:line="240" w:lineRule="auto"/>
        <w:jc w:val="both"/>
        <w:rPr>
          <w:sz w:val="24"/>
          <w:szCs w:val="24"/>
        </w:rPr>
      </w:pPr>
      <w:r>
        <w:rPr>
          <w:rFonts w:ascii="Times New Roman" w:hAnsi="Times New Roman"/>
          <w:sz w:val="24"/>
          <w:szCs w:val="24"/>
        </w:rPr>
        <w:t>Ako korisnik grobnog mjesta ne postupi u roku iz stavka 2. ovoga članka, upravitelj groblja će u daljnjem roku od 30 dana samostalno urediti grobno mjesto.</w:t>
      </w:r>
    </w:p>
    <w:p w14:paraId="3AB7ABF6" w14:textId="77777777" w:rsidR="00F23EC9" w:rsidRDefault="00D91B65">
      <w:pPr>
        <w:pStyle w:val="Tijeloteksta"/>
        <w:spacing w:after="108" w:line="240" w:lineRule="auto"/>
        <w:jc w:val="both"/>
        <w:rPr>
          <w:sz w:val="24"/>
          <w:szCs w:val="24"/>
        </w:rPr>
      </w:pPr>
      <w:r>
        <w:rPr>
          <w:rFonts w:ascii="Times New Roman" w:hAnsi="Times New Roman"/>
          <w:sz w:val="24"/>
          <w:szCs w:val="24"/>
        </w:rPr>
        <w:lastRenderedPageBreak/>
        <w:t>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334CD828" w14:textId="77777777" w:rsidR="00F23EC9" w:rsidRDefault="00D91B65">
      <w:pPr>
        <w:pStyle w:val="Tijeloteksta"/>
        <w:spacing w:after="108" w:line="240" w:lineRule="auto"/>
        <w:jc w:val="both"/>
        <w:rPr>
          <w:sz w:val="24"/>
          <w:szCs w:val="24"/>
        </w:rPr>
      </w:pPr>
      <w:r>
        <w:rPr>
          <w:rFonts w:ascii="Times New Roman" w:hAnsi="Times New Roman"/>
          <w:sz w:val="24"/>
          <w:szCs w:val="24"/>
        </w:rPr>
        <w:t>Ako korisnik grobnog mjesta ne postupi u roku iz stavka 4. ovoga članka, upravitelj groblja će u daljnjem roku od šest mjeseci samostalno urediti grobno mjesto.</w:t>
      </w:r>
    </w:p>
    <w:p w14:paraId="260D3D91" w14:textId="77777777" w:rsidR="00F23EC9" w:rsidRDefault="00D91B65">
      <w:pPr>
        <w:pStyle w:val="Tijeloteksta"/>
        <w:spacing w:after="108" w:line="240" w:lineRule="auto"/>
        <w:jc w:val="both"/>
        <w:rPr>
          <w:sz w:val="24"/>
          <w:szCs w:val="24"/>
        </w:rPr>
      </w:pPr>
      <w:r>
        <w:rPr>
          <w:rFonts w:ascii="Times New Roman" w:hAnsi="Times New Roman"/>
          <w:sz w:val="24"/>
          <w:szCs w:val="24"/>
        </w:rPr>
        <w:t>Korisnik grobnog mjesta dužan je upravitelju groblja nadoknaditi sve troškove koje je upravitelj groblja imao postupajući prema odredbama stavaka 3. i 5. ovoga članka.</w:t>
      </w:r>
    </w:p>
    <w:p w14:paraId="64FF9EA4" w14:textId="77777777" w:rsidR="00F23EC9" w:rsidRDefault="00F23EC9">
      <w:pPr>
        <w:jc w:val="both"/>
        <w:rPr>
          <w:rFonts w:ascii="Times New Roman" w:hAnsi="Times New Roman"/>
          <w:sz w:val="24"/>
          <w:szCs w:val="24"/>
        </w:rPr>
      </w:pPr>
    </w:p>
    <w:p w14:paraId="3D75F7E8" w14:textId="77777777" w:rsidR="00F23EC9" w:rsidRDefault="00D91B65">
      <w:pPr>
        <w:pStyle w:val="Odlomakpopisa"/>
        <w:numPr>
          <w:ilvl w:val="0"/>
          <w:numId w:val="1"/>
        </w:numPr>
        <w:jc w:val="both"/>
        <w:rPr>
          <w:sz w:val="24"/>
          <w:szCs w:val="24"/>
        </w:rPr>
      </w:pPr>
      <w:r>
        <w:rPr>
          <w:rFonts w:ascii="Times New Roman" w:hAnsi="Times New Roman" w:cs="Times New Roman"/>
          <w:sz w:val="24"/>
          <w:szCs w:val="24"/>
        </w:rPr>
        <w:t>RADOVI NA GROBLJU</w:t>
      </w:r>
    </w:p>
    <w:p w14:paraId="71B4628F" w14:textId="77777777" w:rsidR="00F23EC9" w:rsidRDefault="00D91B65">
      <w:pPr>
        <w:jc w:val="center"/>
        <w:rPr>
          <w:sz w:val="24"/>
          <w:szCs w:val="24"/>
        </w:rPr>
      </w:pPr>
      <w:r>
        <w:rPr>
          <w:rFonts w:ascii="Times New Roman" w:hAnsi="Times New Roman" w:cs="Times New Roman"/>
          <w:sz w:val="24"/>
          <w:szCs w:val="24"/>
        </w:rPr>
        <w:t>Članak 30.</w:t>
      </w:r>
    </w:p>
    <w:p w14:paraId="3035FBA4" w14:textId="77777777" w:rsidR="00F23EC9" w:rsidRDefault="00D91B65">
      <w:pPr>
        <w:pStyle w:val="Predformatirantekst"/>
        <w:jc w:val="both"/>
        <w:rPr>
          <w:sz w:val="24"/>
          <w:szCs w:val="24"/>
        </w:rPr>
      </w:pPr>
      <w:r>
        <w:rPr>
          <w:rFonts w:ascii="Times New Roman" w:hAnsi="Times New Roman" w:cs="Times New Roman"/>
          <w:sz w:val="24"/>
          <w:szCs w:val="24"/>
        </w:rPr>
        <w:t>U cilju zaštite groblja kao mjesta pijeteta i dostojanstva, na groblju je zabranjeno:</w:t>
      </w:r>
    </w:p>
    <w:p w14:paraId="22038770" w14:textId="77777777" w:rsidR="00F23EC9" w:rsidRDefault="00D91B65">
      <w:pPr>
        <w:pStyle w:val="Predformatirantekst"/>
        <w:numPr>
          <w:ilvl w:val="0"/>
          <w:numId w:val="3"/>
        </w:numPr>
        <w:jc w:val="both"/>
        <w:rPr>
          <w:sz w:val="24"/>
          <w:szCs w:val="24"/>
        </w:rPr>
      </w:pPr>
      <w:r>
        <w:rPr>
          <w:rFonts w:ascii="Times New Roman" w:hAnsi="Times New Roman"/>
          <w:sz w:val="24"/>
          <w:szCs w:val="24"/>
        </w:rPr>
        <w:t>prljati ili oštećivati grobove, nadgrobne spomenike i druge objekte te odlagati smeće i otpad izvan za to označenih mjesta;</w:t>
      </w:r>
    </w:p>
    <w:p w14:paraId="7C6FAAC0" w14:textId="77777777" w:rsidR="00F23EC9" w:rsidRDefault="00D91B65">
      <w:pPr>
        <w:pStyle w:val="Predformatirantekst"/>
        <w:numPr>
          <w:ilvl w:val="0"/>
          <w:numId w:val="3"/>
        </w:numPr>
        <w:jc w:val="both"/>
        <w:rPr>
          <w:sz w:val="24"/>
          <w:szCs w:val="24"/>
        </w:rPr>
      </w:pPr>
      <w:r>
        <w:rPr>
          <w:rFonts w:ascii="Times New Roman" w:hAnsi="Times New Roman"/>
          <w:sz w:val="24"/>
          <w:szCs w:val="24"/>
        </w:rPr>
        <w:t>dovoditi ili puštati životinje na prostor groblja;</w:t>
      </w:r>
    </w:p>
    <w:p w14:paraId="62F68A80" w14:textId="77777777" w:rsidR="00F23EC9" w:rsidRDefault="00D91B65">
      <w:pPr>
        <w:pStyle w:val="Predformatirantekst"/>
        <w:numPr>
          <w:ilvl w:val="0"/>
          <w:numId w:val="3"/>
        </w:numPr>
        <w:jc w:val="both"/>
        <w:rPr>
          <w:sz w:val="24"/>
          <w:szCs w:val="24"/>
        </w:rPr>
      </w:pPr>
      <w:r>
        <w:rPr>
          <w:rFonts w:ascii="Times New Roman" w:hAnsi="Times New Roman"/>
          <w:sz w:val="24"/>
          <w:szCs w:val="24"/>
        </w:rPr>
        <w:t>neovlašteno ulaziti vozilima na groblje bez dozvole upravitelja groblja;</w:t>
      </w:r>
    </w:p>
    <w:p w14:paraId="272C28FE" w14:textId="77777777" w:rsidR="00F23EC9" w:rsidRDefault="00D91B65">
      <w:pPr>
        <w:pStyle w:val="Predformatirantekst"/>
        <w:numPr>
          <w:ilvl w:val="0"/>
          <w:numId w:val="3"/>
        </w:numPr>
        <w:jc w:val="both"/>
        <w:rPr>
          <w:sz w:val="24"/>
          <w:szCs w:val="24"/>
        </w:rPr>
      </w:pPr>
      <w:r>
        <w:rPr>
          <w:rFonts w:ascii="Times New Roman" w:hAnsi="Times New Roman"/>
          <w:sz w:val="24"/>
          <w:szCs w:val="24"/>
        </w:rPr>
        <w:t>ponašati se na nedoličan način kojim se remeti mir i dostojanstvo mjesta;</w:t>
      </w:r>
    </w:p>
    <w:p w14:paraId="642D5F9A" w14:textId="77777777" w:rsidR="00F23EC9" w:rsidRDefault="00D91B65">
      <w:pPr>
        <w:pStyle w:val="Predformatirantekst"/>
        <w:numPr>
          <w:ilvl w:val="0"/>
          <w:numId w:val="3"/>
        </w:numPr>
        <w:jc w:val="both"/>
        <w:rPr>
          <w:sz w:val="24"/>
          <w:szCs w:val="24"/>
        </w:rPr>
      </w:pPr>
      <w:r>
        <w:rPr>
          <w:rFonts w:ascii="Times New Roman" w:hAnsi="Times New Roman"/>
          <w:sz w:val="24"/>
          <w:szCs w:val="24"/>
        </w:rPr>
        <w:t>zaticati se u prosjačenju ili ometati posjetitelje groblja;</w:t>
      </w:r>
    </w:p>
    <w:p w14:paraId="3BB99427" w14:textId="77777777" w:rsidR="00F23EC9" w:rsidRDefault="00D91B65">
      <w:pPr>
        <w:pStyle w:val="Predformatirantekst"/>
        <w:numPr>
          <w:ilvl w:val="0"/>
          <w:numId w:val="3"/>
        </w:numPr>
        <w:jc w:val="both"/>
        <w:rPr>
          <w:sz w:val="24"/>
          <w:szCs w:val="24"/>
        </w:rPr>
      </w:pPr>
      <w:r>
        <w:rPr>
          <w:rFonts w:ascii="Times New Roman" w:hAnsi="Times New Roman"/>
          <w:sz w:val="24"/>
          <w:szCs w:val="24"/>
        </w:rPr>
        <w:t>gaziti po grobovima, grobnim mjestima i uređenim nasadima;</w:t>
      </w:r>
    </w:p>
    <w:p w14:paraId="597563A6" w14:textId="77777777" w:rsidR="00F23EC9" w:rsidRDefault="00D91B65">
      <w:pPr>
        <w:pStyle w:val="Predformatirantekst"/>
        <w:numPr>
          <w:ilvl w:val="0"/>
          <w:numId w:val="3"/>
        </w:numPr>
        <w:jc w:val="both"/>
        <w:rPr>
          <w:sz w:val="24"/>
          <w:szCs w:val="24"/>
        </w:rPr>
      </w:pPr>
      <w:r>
        <w:rPr>
          <w:rFonts w:ascii="Times New Roman" w:hAnsi="Times New Roman"/>
          <w:sz w:val="24"/>
          <w:szCs w:val="24"/>
        </w:rPr>
        <w:t>oštećivati ogradu, staze, opremu ili druge infrastrukturne elemente groblja;</w:t>
      </w:r>
    </w:p>
    <w:p w14:paraId="077CBC16" w14:textId="77777777" w:rsidR="00F23EC9" w:rsidRDefault="00D91B65">
      <w:pPr>
        <w:pStyle w:val="Predformatirantekst"/>
        <w:numPr>
          <w:ilvl w:val="0"/>
          <w:numId w:val="3"/>
        </w:numPr>
        <w:jc w:val="both"/>
        <w:rPr>
          <w:sz w:val="24"/>
          <w:szCs w:val="24"/>
        </w:rPr>
      </w:pPr>
      <w:r>
        <w:rPr>
          <w:rFonts w:ascii="Times New Roman" w:hAnsi="Times New Roman"/>
          <w:sz w:val="24"/>
          <w:szCs w:val="24"/>
        </w:rPr>
        <w:t>obavljati bilo koju vrstu trgovine ili nuditi usluge bez prethodnog pisanog odobrenja upravitelja groblja;</w:t>
      </w:r>
    </w:p>
    <w:p w14:paraId="5748573B" w14:textId="77777777" w:rsidR="00F23EC9" w:rsidRDefault="00D91B65">
      <w:pPr>
        <w:pStyle w:val="Predformatirantekst"/>
        <w:numPr>
          <w:ilvl w:val="0"/>
          <w:numId w:val="3"/>
        </w:numPr>
        <w:spacing w:after="283"/>
        <w:jc w:val="both"/>
        <w:rPr>
          <w:sz w:val="24"/>
          <w:szCs w:val="24"/>
        </w:rPr>
      </w:pPr>
      <w:r>
        <w:rPr>
          <w:rFonts w:ascii="Times New Roman" w:hAnsi="Times New Roman"/>
          <w:sz w:val="24"/>
          <w:szCs w:val="24"/>
        </w:rPr>
        <w:t>postavljati nedolične natpise, slike, simbole ili reklamne poruke na grobnim mjestima ili unutar prostora groblja.</w:t>
      </w:r>
    </w:p>
    <w:p w14:paraId="0D4757F7" w14:textId="77777777" w:rsidR="00F23EC9" w:rsidRDefault="00D91B65">
      <w:pPr>
        <w:jc w:val="center"/>
        <w:rPr>
          <w:sz w:val="24"/>
          <w:szCs w:val="24"/>
        </w:rPr>
      </w:pPr>
      <w:r>
        <w:rPr>
          <w:rFonts w:ascii="Times New Roman" w:hAnsi="Times New Roman"/>
          <w:sz w:val="24"/>
          <w:szCs w:val="24"/>
        </w:rPr>
        <w:t>Članak 31.</w:t>
      </w:r>
    </w:p>
    <w:p w14:paraId="050656EE" w14:textId="77777777" w:rsidR="00F23EC9" w:rsidRDefault="00D91B65">
      <w:pPr>
        <w:jc w:val="both"/>
        <w:rPr>
          <w:sz w:val="24"/>
          <w:szCs w:val="24"/>
        </w:rPr>
      </w:pPr>
      <w:r>
        <w:rPr>
          <w:rFonts w:ascii="Times New Roman" w:hAnsi="Times New Roman" w:cs="Times New Roman"/>
          <w:sz w:val="24"/>
          <w:szCs w:val="24"/>
        </w:rPr>
        <w:t>Korisnik grobnog mjesta odlučuje o obliku i načinu uređenja grobnog mjesta pridržavajući se Plana uređenja groblja, rasporeda i korištenja grobnih mjesta te odredbi ove Odluke.</w:t>
      </w:r>
    </w:p>
    <w:p w14:paraId="5F41A4C7" w14:textId="77777777" w:rsidR="00F23EC9" w:rsidRDefault="00D91B65">
      <w:pPr>
        <w:jc w:val="both"/>
        <w:rPr>
          <w:sz w:val="24"/>
          <w:szCs w:val="24"/>
        </w:rPr>
      </w:pPr>
      <w:r>
        <w:rPr>
          <w:rFonts w:ascii="Times New Roman" w:hAnsi="Times New Roman" w:cs="Times New Roman"/>
          <w:sz w:val="24"/>
          <w:szCs w:val="24"/>
        </w:rPr>
        <w:t>Iskop grobova i grobnica, te izvođenje osnovnih građevinskih radova (izgradnja grobnih temelja, okvira, grobnica, kazeta za urne i betonskih dekica) mogu obavljati samo ovlaštene osobe, uz prethodnu dozvolu Upravitelja groblja.</w:t>
      </w:r>
    </w:p>
    <w:p w14:paraId="745B4899" w14:textId="77777777" w:rsidR="00F23EC9" w:rsidRDefault="00D91B65">
      <w:pPr>
        <w:jc w:val="both"/>
        <w:rPr>
          <w:sz w:val="24"/>
          <w:szCs w:val="24"/>
        </w:rPr>
      </w:pPr>
      <w:r>
        <w:rPr>
          <w:rFonts w:ascii="Times New Roman" w:hAnsi="Times New Roman" w:cs="Times New Roman"/>
          <w:sz w:val="24"/>
          <w:szCs w:val="24"/>
        </w:rPr>
        <w:t>Radove na izgradnji nadgrobnih spomenika i uređaja na grobovima mogu izvoditi fizičke i pravne osobe registrirane za obavljanje te djelatnosti.</w:t>
      </w:r>
    </w:p>
    <w:p w14:paraId="6CFCFB68" w14:textId="77777777" w:rsidR="00F23EC9" w:rsidRDefault="00D91B65">
      <w:pPr>
        <w:jc w:val="both"/>
        <w:rPr>
          <w:sz w:val="24"/>
          <w:szCs w:val="24"/>
        </w:rPr>
      </w:pPr>
      <w:r>
        <w:rPr>
          <w:rFonts w:ascii="Times New Roman" w:hAnsi="Times New Roman" w:cs="Times New Roman"/>
          <w:sz w:val="24"/>
          <w:szCs w:val="24"/>
        </w:rPr>
        <w:t>Pri izvođenju radova iz stavka 3. ovog članka, izvođači su dužni pridržavati se odredbi o redu na groblju, a naročito:</w:t>
      </w:r>
    </w:p>
    <w:p w14:paraId="4045BF4A" w14:textId="77777777" w:rsidR="00F23EC9" w:rsidRDefault="00D91B65">
      <w:pPr>
        <w:jc w:val="both"/>
        <w:rPr>
          <w:sz w:val="24"/>
          <w:szCs w:val="24"/>
        </w:rPr>
      </w:pPr>
      <w:r>
        <w:rPr>
          <w:rFonts w:ascii="Times New Roman" w:hAnsi="Times New Roman" w:cs="Times New Roman"/>
          <w:sz w:val="24"/>
          <w:szCs w:val="24"/>
        </w:rPr>
        <w:t>– radovi se moraju izvoditi tako da se do najveće mjere očuva mir i dostojanstvo na groblju, a mogu se obavljati samo u radne dane u vrijeme uredovnog radnog vremena groblja, nikako za vrijeme sprovoda, nedjeljom ili na dane vjerskih blagdana.</w:t>
      </w:r>
    </w:p>
    <w:p w14:paraId="4EC8531F" w14:textId="77777777" w:rsidR="00F23EC9" w:rsidRDefault="00D91B65">
      <w:pPr>
        <w:jc w:val="both"/>
        <w:rPr>
          <w:sz w:val="24"/>
          <w:szCs w:val="24"/>
        </w:rPr>
      </w:pPr>
      <w:r>
        <w:rPr>
          <w:rFonts w:ascii="Times New Roman" w:hAnsi="Times New Roman" w:cs="Times New Roman"/>
          <w:sz w:val="24"/>
          <w:szCs w:val="24"/>
        </w:rPr>
        <w:t>– građevni materijal (opeka, kamen, šljunak, pijesak, cement, vapno i drugo) može se držati na groblju samo kraće vrijeme koje je neophodno za izvršenje radova i tako da se time ne ometaju korisnici,</w:t>
      </w:r>
    </w:p>
    <w:p w14:paraId="7629B2E9" w14:textId="77777777" w:rsidR="00F23EC9" w:rsidRDefault="00D91B65">
      <w:pPr>
        <w:jc w:val="both"/>
        <w:rPr>
          <w:sz w:val="24"/>
          <w:szCs w:val="24"/>
        </w:rPr>
      </w:pPr>
      <w:r>
        <w:rPr>
          <w:rFonts w:ascii="Times New Roman" w:hAnsi="Times New Roman" w:cs="Times New Roman"/>
          <w:sz w:val="24"/>
          <w:szCs w:val="24"/>
        </w:rPr>
        <w:t>– u slučaju prekida radova, kao i poslije njihova završetka izvođač je dužan bez odlaganja radilište dovesti u prijašnje stanje,</w:t>
      </w:r>
    </w:p>
    <w:p w14:paraId="38C18F01" w14:textId="77777777" w:rsidR="00F23EC9" w:rsidRDefault="00D91B65">
      <w:pPr>
        <w:jc w:val="both"/>
        <w:rPr>
          <w:sz w:val="24"/>
          <w:szCs w:val="24"/>
        </w:rPr>
      </w:pPr>
      <w:r>
        <w:rPr>
          <w:rFonts w:ascii="Times New Roman" w:hAnsi="Times New Roman" w:cs="Times New Roman"/>
          <w:sz w:val="24"/>
          <w:szCs w:val="24"/>
        </w:rPr>
        <w:t>– za prijevoz materijala potrebnog za izvođenje radova na groblju, mogu se koristiti samo oni putovi i staze koje odredi Upravitelj groblja.</w:t>
      </w:r>
    </w:p>
    <w:p w14:paraId="7497E4AA" w14:textId="77777777" w:rsidR="00F23EC9" w:rsidRDefault="00D91B65">
      <w:pPr>
        <w:jc w:val="both"/>
        <w:rPr>
          <w:sz w:val="24"/>
          <w:szCs w:val="24"/>
        </w:rPr>
      </w:pPr>
      <w:r>
        <w:rPr>
          <w:rFonts w:ascii="Times New Roman" w:hAnsi="Times New Roman" w:cs="Times New Roman"/>
          <w:sz w:val="24"/>
          <w:szCs w:val="24"/>
        </w:rPr>
        <w:t>Radovi iz stavka 3. ovog članka mogu se obavljati samo nakon prethodne prijave Upravitelju groblja i ishođenja suglasnosti za izvođenje istih.</w:t>
      </w:r>
    </w:p>
    <w:p w14:paraId="022C3CA8" w14:textId="6D8F34C7" w:rsidR="00F23EC9" w:rsidRDefault="00D91B65">
      <w:pPr>
        <w:jc w:val="both"/>
        <w:rPr>
          <w:sz w:val="24"/>
          <w:szCs w:val="24"/>
        </w:rPr>
      </w:pPr>
      <w:r>
        <w:rPr>
          <w:rFonts w:ascii="Times New Roman" w:hAnsi="Times New Roman" w:cs="Times New Roman"/>
          <w:sz w:val="24"/>
          <w:szCs w:val="24"/>
        </w:rPr>
        <w:lastRenderedPageBreak/>
        <w:t xml:space="preserve">Upravitelj groblja zabranit će rad onom izvođaču radova koji započne s radom bez prethodne </w:t>
      </w:r>
      <w:r w:rsidR="007A5BDC">
        <w:rPr>
          <w:rFonts w:ascii="Times New Roman" w:hAnsi="Times New Roman" w:cs="Times New Roman"/>
          <w:sz w:val="24"/>
          <w:szCs w:val="24"/>
        </w:rPr>
        <w:t>suglasnosti</w:t>
      </w:r>
      <w:r>
        <w:rPr>
          <w:rFonts w:ascii="Times New Roman" w:hAnsi="Times New Roman" w:cs="Times New Roman"/>
          <w:sz w:val="24"/>
          <w:szCs w:val="24"/>
        </w:rPr>
        <w:t xml:space="preserve"> iz stavka </w:t>
      </w:r>
      <w:r w:rsidR="007A5BDC">
        <w:rPr>
          <w:rFonts w:ascii="Times New Roman" w:hAnsi="Times New Roman" w:cs="Times New Roman"/>
          <w:sz w:val="24"/>
          <w:szCs w:val="24"/>
        </w:rPr>
        <w:t>5</w:t>
      </w:r>
      <w:r>
        <w:rPr>
          <w:rFonts w:ascii="Times New Roman" w:hAnsi="Times New Roman" w:cs="Times New Roman"/>
          <w:sz w:val="24"/>
          <w:szCs w:val="24"/>
        </w:rPr>
        <w:t>. ovog članka te koji se ne pridržava utvrđene lokacije i drugih uvjeta za uređenje i izgradnju grobnih mjesta.</w:t>
      </w:r>
    </w:p>
    <w:p w14:paraId="761FA5E9" w14:textId="77777777" w:rsidR="00F23EC9" w:rsidRDefault="00D91B65">
      <w:pPr>
        <w:jc w:val="center"/>
        <w:rPr>
          <w:sz w:val="24"/>
          <w:szCs w:val="24"/>
        </w:rPr>
      </w:pPr>
      <w:r>
        <w:rPr>
          <w:rFonts w:ascii="Times New Roman" w:hAnsi="Times New Roman" w:cs="Times New Roman"/>
          <w:sz w:val="24"/>
          <w:szCs w:val="24"/>
        </w:rPr>
        <w:t>Članak 32.</w:t>
      </w:r>
    </w:p>
    <w:p w14:paraId="372CD448" w14:textId="77777777" w:rsidR="00F23EC9" w:rsidRDefault="00D91B65">
      <w:pPr>
        <w:jc w:val="both"/>
        <w:rPr>
          <w:sz w:val="24"/>
          <w:szCs w:val="24"/>
        </w:rPr>
      </w:pPr>
      <w:r>
        <w:rPr>
          <w:rFonts w:ascii="Times New Roman" w:hAnsi="Times New Roman" w:cs="Times New Roman"/>
          <w:sz w:val="24"/>
          <w:szCs w:val="24"/>
        </w:rPr>
        <w:t>Za izdavanje suglasnosti iz članka 31., korisnik grobnog mjesta obvezan je priložiti:</w:t>
      </w:r>
    </w:p>
    <w:p w14:paraId="4DD8A9A5" w14:textId="77777777" w:rsidR="00F23EC9" w:rsidRDefault="00D91B65">
      <w:pPr>
        <w:jc w:val="both"/>
        <w:rPr>
          <w:sz w:val="24"/>
          <w:szCs w:val="24"/>
        </w:rPr>
      </w:pPr>
      <w:r>
        <w:rPr>
          <w:rFonts w:ascii="Times New Roman" w:hAnsi="Times New Roman" w:cs="Times New Roman"/>
          <w:sz w:val="24"/>
          <w:szCs w:val="24"/>
        </w:rPr>
        <w:t>- zahtjev za izdavanje suglasnosti vlastoručno potpisan, s naznačenim OIB-om korisnika grobnog mjesta</w:t>
      </w:r>
    </w:p>
    <w:p w14:paraId="0BF0F078" w14:textId="77777777" w:rsidR="00F23EC9" w:rsidRDefault="00D91B65">
      <w:pPr>
        <w:jc w:val="both"/>
        <w:rPr>
          <w:sz w:val="24"/>
          <w:szCs w:val="24"/>
        </w:rPr>
      </w:pPr>
      <w:r>
        <w:rPr>
          <w:rFonts w:ascii="Times New Roman" w:hAnsi="Times New Roman" w:cs="Times New Roman"/>
          <w:sz w:val="24"/>
          <w:szCs w:val="24"/>
        </w:rPr>
        <w:t>-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korisnicima i</w:t>
      </w:r>
    </w:p>
    <w:p w14:paraId="3545D0AF" w14:textId="77777777" w:rsidR="00F23EC9" w:rsidRDefault="00D91B65">
      <w:pPr>
        <w:jc w:val="both"/>
        <w:rPr>
          <w:sz w:val="24"/>
          <w:szCs w:val="24"/>
        </w:rPr>
      </w:pPr>
      <w:r>
        <w:rPr>
          <w:rFonts w:ascii="Times New Roman" w:hAnsi="Times New Roman" w:cs="Times New Roman"/>
          <w:sz w:val="24"/>
          <w:szCs w:val="24"/>
        </w:rPr>
        <w:t>- dva nacrta gradnje i opremanja grobnog mjesta te nacrte gravure s navedenim dimenzijama ploče i položajem i dimenzijama teksta koji odgovaraju propisanim dimenzijama i po načinu izvođenju u skladu s okolinom.</w:t>
      </w:r>
    </w:p>
    <w:p w14:paraId="5263A00A" w14:textId="77777777" w:rsidR="00F23EC9" w:rsidRDefault="00D91B65">
      <w:pPr>
        <w:jc w:val="both"/>
        <w:rPr>
          <w:sz w:val="24"/>
          <w:szCs w:val="24"/>
        </w:rPr>
      </w:pPr>
      <w:r>
        <w:rPr>
          <w:rFonts w:ascii="Times New Roman" w:hAnsi="Times New Roman" w:cs="Times New Roman"/>
          <w:sz w:val="24"/>
          <w:szCs w:val="24"/>
        </w:rPr>
        <w:t>Upravitelj groblja izdaje suglasnost iz ovog članka u roku od 60 dana od dana uredno predanog zahtjeva. Ako upravitelj ne izda suglasnost u navedenom roku, smatra se da je suglasnost dana, osim ako groblje ili grobno mjesto na kojem će se radovi izvoditi ima status kulturnog dobra ili status dobra od lokalnog značenja.</w:t>
      </w:r>
    </w:p>
    <w:p w14:paraId="52FF9100" w14:textId="77777777" w:rsidR="00F23EC9" w:rsidRDefault="00D91B65">
      <w:pPr>
        <w:jc w:val="both"/>
        <w:rPr>
          <w:sz w:val="24"/>
          <w:szCs w:val="24"/>
        </w:rPr>
      </w:pPr>
      <w:r>
        <w:rPr>
          <w:rFonts w:ascii="Times New Roman" w:hAnsi="Times New Roman" w:cs="Times New Roman"/>
          <w:sz w:val="24"/>
          <w:szCs w:val="24"/>
        </w:rPr>
        <w:t>Za izdavanje suglasnosti upravitelj groblja ima pravo naplatiti naknadu čiju visinu određuje upravitelj groblja prema važećem cjeniku.</w:t>
      </w:r>
    </w:p>
    <w:p w14:paraId="316A8006" w14:textId="77777777" w:rsidR="00F23EC9" w:rsidRDefault="00F23EC9">
      <w:pPr>
        <w:jc w:val="both"/>
        <w:rPr>
          <w:rFonts w:cs="Times New Roman"/>
          <w:sz w:val="24"/>
          <w:szCs w:val="24"/>
        </w:rPr>
      </w:pPr>
    </w:p>
    <w:p w14:paraId="5DBE238B" w14:textId="77777777" w:rsidR="00F23EC9" w:rsidRDefault="00D91B65">
      <w:pPr>
        <w:pStyle w:val="Odlomakpopisa"/>
        <w:numPr>
          <w:ilvl w:val="0"/>
          <w:numId w:val="1"/>
        </w:numPr>
        <w:jc w:val="both"/>
        <w:rPr>
          <w:sz w:val="24"/>
          <w:szCs w:val="24"/>
        </w:rPr>
      </w:pPr>
      <w:r>
        <w:rPr>
          <w:rFonts w:ascii="Times New Roman" w:hAnsi="Times New Roman" w:cs="Times New Roman"/>
          <w:sz w:val="24"/>
          <w:szCs w:val="24"/>
        </w:rPr>
        <w:t>NAČIN I UVJETI UKOPA POKOJNIKA</w:t>
      </w:r>
    </w:p>
    <w:p w14:paraId="626682A1" w14:textId="77777777" w:rsidR="00F23EC9" w:rsidRDefault="00D91B65">
      <w:pPr>
        <w:jc w:val="center"/>
        <w:rPr>
          <w:sz w:val="24"/>
          <w:szCs w:val="24"/>
        </w:rPr>
      </w:pPr>
      <w:r>
        <w:rPr>
          <w:rFonts w:ascii="Times New Roman" w:hAnsi="Times New Roman" w:cs="Times New Roman"/>
          <w:sz w:val="24"/>
          <w:szCs w:val="24"/>
        </w:rPr>
        <w:t>Članak 33.</w:t>
      </w:r>
    </w:p>
    <w:p w14:paraId="11AE535A" w14:textId="77777777" w:rsidR="00F23EC9" w:rsidRDefault="00D91B65">
      <w:pPr>
        <w:jc w:val="both"/>
        <w:rPr>
          <w:sz w:val="24"/>
          <w:szCs w:val="24"/>
        </w:rPr>
      </w:pPr>
      <w:r>
        <w:rPr>
          <w:rFonts w:ascii="Times New Roman" w:hAnsi="Times New Roman" w:cs="Times New Roman"/>
          <w:sz w:val="24"/>
          <w:szCs w:val="24"/>
        </w:rPr>
        <w:t>Poslovima organiziranja i obavljanja ukopa smatraju se poslovi smještaja pokojnika u mrtvačnicu, pripreme grobnog mjesta (iskop groba, otvaranje i zatvaranje grobnice), prijevoz pokojnika od mrtvačnice do grobnog mjesta, ukop pokojnika te uređenje grobnog mjesta nakon ukopa.</w:t>
      </w:r>
    </w:p>
    <w:p w14:paraId="67C056A5" w14:textId="77777777" w:rsidR="00F23EC9" w:rsidRDefault="00D91B65">
      <w:pPr>
        <w:jc w:val="both"/>
        <w:rPr>
          <w:sz w:val="24"/>
          <w:szCs w:val="24"/>
        </w:rPr>
      </w:pPr>
      <w:r>
        <w:rPr>
          <w:rFonts w:ascii="Times New Roman" w:hAnsi="Times New Roman" w:cs="Times New Roman"/>
          <w:sz w:val="24"/>
          <w:szCs w:val="24"/>
        </w:rPr>
        <w:t>Pružanje usluga iz stavka 1. ovog članka može obavljati ovlaštena pravna osoba.</w:t>
      </w:r>
    </w:p>
    <w:p w14:paraId="58C8E58F" w14:textId="77777777" w:rsidR="00F23EC9" w:rsidRDefault="00F23EC9">
      <w:pPr>
        <w:jc w:val="both"/>
        <w:rPr>
          <w:rFonts w:cs="Times New Roman"/>
          <w:sz w:val="24"/>
          <w:szCs w:val="24"/>
        </w:rPr>
      </w:pPr>
    </w:p>
    <w:p w14:paraId="2E1B9530" w14:textId="77777777" w:rsidR="00F23EC9" w:rsidRDefault="00D91B65">
      <w:pPr>
        <w:jc w:val="center"/>
        <w:rPr>
          <w:sz w:val="24"/>
          <w:szCs w:val="24"/>
        </w:rPr>
      </w:pPr>
      <w:r>
        <w:rPr>
          <w:rFonts w:ascii="Times New Roman" w:hAnsi="Times New Roman" w:cs="Times New Roman"/>
          <w:sz w:val="24"/>
          <w:szCs w:val="24"/>
        </w:rPr>
        <w:t>Članak 34.</w:t>
      </w:r>
    </w:p>
    <w:p w14:paraId="73371E0A" w14:textId="77777777" w:rsidR="00F23EC9" w:rsidRDefault="00D91B65">
      <w:pPr>
        <w:jc w:val="both"/>
        <w:rPr>
          <w:sz w:val="24"/>
          <w:szCs w:val="24"/>
        </w:rPr>
      </w:pPr>
      <w:r>
        <w:rPr>
          <w:rFonts w:ascii="Times New Roman" w:hAnsi="Times New Roman" w:cs="Times New Roman"/>
          <w:sz w:val="24"/>
          <w:szCs w:val="24"/>
        </w:rPr>
        <w:t>Naručitelj ukopa je svaka fizička ili pravna osoba koja je uz predočenje i predaju dozvole za ukop, a po potrebi i drugih isprava, preuzimanjem obveze podmirenja grobnih naknada i podmirenje troškova pogrebnih poslova, zatražila obavljanje ukopa.</w:t>
      </w:r>
    </w:p>
    <w:p w14:paraId="24884A0A" w14:textId="77777777" w:rsidR="00F23EC9" w:rsidRDefault="00F23EC9">
      <w:pPr>
        <w:jc w:val="both"/>
        <w:rPr>
          <w:rFonts w:ascii="Times New Roman" w:hAnsi="Times New Roman" w:cs="Times New Roman"/>
          <w:sz w:val="24"/>
          <w:szCs w:val="24"/>
          <w:highlight w:val="yellow"/>
        </w:rPr>
      </w:pPr>
    </w:p>
    <w:p w14:paraId="1B8D2465" w14:textId="77777777" w:rsidR="00F23EC9" w:rsidRDefault="00D91B65">
      <w:pPr>
        <w:jc w:val="center"/>
        <w:rPr>
          <w:sz w:val="24"/>
          <w:szCs w:val="24"/>
        </w:rPr>
      </w:pPr>
      <w:r>
        <w:rPr>
          <w:rFonts w:ascii="Times New Roman" w:hAnsi="Times New Roman" w:cs="Times New Roman"/>
          <w:sz w:val="24"/>
          <w:szCs w:val="24"/>
        </w:rPr>
        <w:t>Članak 35.</w:t>
      </w:r>
    </w:p>
    <w:p w14:paraId="10BA0A77" w14:textId="11F3ADCA" w:rsidR="00F23EC9" w:rsidRDefault="00D91B65">
      <w:pPr>
        <w:widowControl w:val="0"/>
        <w:jc w:val="both"/>
        <w:rPr>
          <w:sz w:val="24"/>
          <w:szCs w:val="24"/>
        </w:rPr>
      </w:pPr>
      <w:r>
        <w:rPr>
          <w:rFonts w:ascii="Times New Roman" w:hAnsi="Times New Roman" w:cs="Times New Roman"/>
          <w:color w:val="000000"/>
          <w:sz w:val="24"/>
          <w:szCs w:val="24"/>
        </w:rPr>
        <w:t>Ukop se vrši po odredbama ove Odluke bez obzira na državljanstvo, narodnost i vjeroispovijest umrlog.</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Obred </w:t>
      </w:r>
      <w:r w:rsidR="007A5BDC">
        <w:rPr>
          <w:rFonts w:ascii="Times New Roman" w:hAnsi="Times New Roman" w:cs="Times New Roman"/>
          <w:color w:val="000000"/>
          <w:sz w:val="24"/>
          <w:szCs w:val="24"/>
        </w:rPr>
        <w:t>ukopa</w:t>
      </w:r>
      <w:r>
        <w:rPr>
          <w:rFonts w:ascii="Times New Roman" w:hAnsi="Times New Roman" w:cs="Times New Roman"/>
          <w:color w:val="000000"/>
          <w:sz w:val="24"/>
          <w:szCs w:val="24"/>
        </w:rPr>
        <w:t xml:space="preserve"> vrši se na osnovi volje umrlog, njegove bliže rodbine ili osoba koje se brinu o ukopu umrlog.</w:t>
      </w:r>
    </w:p>
    <w:p w14:paraId="4C302D8E" w14:textId="77777777" w:rsidR="00F23EC9" w:rsidRDefault="00D91B65">
      <w:pPr>
        <w:widowControl w:val="0"/>
        <w:jc w:val="both"/>
        <w:rPr>
          <w:sz w:val="24"/>
          <w:szCs w:val="24"/>
        </w:rPr>
      </w:pPr>
      <w:r>
        <w:rPr>
          <w:rFonts w:ascii="Times New Roman" w:hAnsi="Times New Roman" w:cs="Times New Roman"/>
          <w:color w:val="000000"/>
          <w:sz w:val="24"/>
          <w:szCs w:val="24"/>
        </w:rPr>
        <w:t>Svakoj vjerskoj organizaciji dopušteno je vršenje vjerskih obreda prigodom ukopa umrlog, a</w:t>
      </w:r>
    </w:p>
    <w:p w14:paraId="6F506E82" w14:textId="77777777" w:rsidR="00F23EC9" w:rsidRDefault="00D91B65">
      <w:pPr>
        <w:widowControl w:val="0"/>
        <w:jc w:val="both"/>
        <w:rPr>
          <w:sz w:val="24"/>
          <w:szCs w:val="24"/>
        </w:rPr>
      </w:pPr>
      <w:r>
        <w:rPr>
          <w:rFonts w:ascii="Times New Roman" w:hAnsi="Times New Roman" w:cs="Times New Roman"/>
          <w:color w:val="000000"/>
          <w:sz w:val="24"/>
          <w:szCs w:val="24"/>
        </w:rPr>
        <w:t>sukladno s propisima o vjerskim zajednicama. Obred nad otvorenim lijesom nije dozvoljen.</w:t>
      </w:r>
    </w:p>
    <w:p w14:paraId="7BAC6DD4" w14:textId="77777777" w:rsidR="00F23EC9" w:rsidRDefault="00D91B65">
      <w:pPr>
        <w:widowControl w:val="0"/>
        <w:jc w:val="both"/>
        <w:rPr>
          <w:sz w:val="24"/>
          <w:szCs w:val="24"/>
        </w:rPr>
      </w:pPr>
      <w:r>
        <w:rPr>
          <w:rFonts w:ascii="Times New Roman" w:hAnsi="Times New Roman" w:cs="Times New Roman"/>
          <w:color w:val="000000"/>
          <w:sz w:val="24"/>
          <w:szCs w:val="24"/>
        </w:rPr>
        <w:t>Umrla se osoba ukapa nakon što je smrt utvrđena, a od 24 sata do 48 sati od nastupa smrti.</w:t>
      </w:r>
    </w:p>
    <w:p w14:paraId="20FE60EB" w14:textId="77777777" w:rsidR="00F23EC9" w:rsidRDefault="00D91B65">
      <w:pPr>
        <w:widowControl w:val="0"/>
        <w:jc w:val="both"/>
        <w:rPr>
          <w:sz w:val="24"/>
          <w:szCs w:val="24"/>
        </w:rPr>
      </w:pPr>
      <w:r>
        <w:rPr>
          <w:rFonts w:ascii="Times New Roman" w:hAnsi="Times New Roman" w:cs="Times New Roman"/>
          <w:color w:val="000000"/>
          <w:sz w:val="24"/>
          <w:szCs w:val="24"/>
        </w:rPr>
        <w:t>Ukop umrlog mora se obaviti u zatvorenom lijesu koji može biti izrađen od drveta, metala ili drugog otpornog materijala.</w:t>
      </w:r>
    </w:p>
    <w:p w14:paraId="59D8D76F" w14:textId="77777777" w:rsidR="00F23EC9" w:rsidRDefault="00D91B65">
      <w:pPr>
        <w:widowControl w:val="0"/>
        <w:jc w:val="both"/>
        <w:rPr>
          <w:sz w:val="24"/>
          <w:szCs w:val="24"/>
        </w:rPr>
      </w:pPr>
      <w:r>
        <w:rPr>
          <w:rFonts w:ascii="Times New Roman" w:hAnsi="Times New Roman" w:cs="Times New Roman"/>
          <w:color w:val="000000"/>
          <w:sz w:val="24"/>
          <w:szCs w:val="24"/>
        </w:rPr>
        <w:t>Lijes u kojem se umrlog ukapa u grobnicu odnosno prenosi radi ukopa u drugo mjesto mora biti dvostruk. Unutrašnji dio lijesa mora biti izrađen od lima ili drugog prikladnog materijala i hermetički zatvoren, a vanjski dio od drveta.</w:t>
      </w:r>
    </w:p>
    <w:p w14:paraId="6ECDA2C6" w14:textId="35F77ACD" w:rsidR="00F23EC9" w:rsidRDefault="00D91B65">
      <w:pPr>
        <w:widowControl w:val="0"/>
        <w:jc w:val="both"/>
        <w:rPr>
          <w:sz w:val="24"/>
          <w:szCs w:val="24"/>
        </w:rPr>
      </w:pPr>
      <w:r>
        <w:rPr>
          <w:rFonts w:ascii="Times New Roman" w:hAnsi="Times New Roman" w:cs="Times New Roman"/>
          <w:color w:val="000000"/>
          <w:sz w:val="24"/>
          <w:szCs w:val="24"/>
        </w:rPr>
        <w:t xml:space="preserve">Osoba kod koje je smrt nastupila u mjestu gdje postoji mrtvačnica izgrađena u skladu s tehničko-higijenskim uvjetima, obvezno se prenosi u mrtvačnicu, a najkasnije 2 sata prije početka obreda </w:t>
      </w:r>
      <w:r w:rsidR="007A5BDC">
        <w:rPr>
          <w:rFonts w:ascii="Times New Roman" w:hAnsi="Times New Roman" w:cs="Times New Roman"/>
          <w:color w:val="000000"/>
          <w:sz w:val="24"/>
          <w:szCs w:val="24"/>
        </w:rPr>
        <w:t>ukopa</w:t>
      </w:r>
      <w:r>
        <w:rPr>
          <w:rFonts w:ascii="Times New Roman" w:hAnsi="Times New Roman" w:cs="Times New Roman"/>
          <w:color w:val="000000"/>
          <w:sz w:val="24"/>
          <w:szCs w:val="24"/>
        </w:rPr>
        <w:t>.</w:t>
      </w:r>
    </w:p>
    <w:p w14:paraId="61EA83E2" w14:textId="77777777" w:rsidR="00F23EC9" w:rsidRDefault="00D91B65">
      <w:pPr>
        <w:widowControl w:val="0"/>
        <w:jc w:val="both"/>
        <w:rPr>
          <w:sz w:val="24"/>
          <w:szCs w:val="24"/>
        </w:rPr>
      </w:pPr>
      <w:r>
        <w:rPr>
          <w:rFonts w:ascii="Times New Roman" w:hAnsi="Times New Roman" w:cs="Times New Roman"/>
          <w:color w:val="000000"/>
          <w:sz w:val="24"/>
          <w:szCs w:val="24"/>
        </w:rPr>
        <w:t>Prijenos umrlih u mrtvačnicu obavlja ovlaštena pogrebna služba.</w:t>
      </w:r>
    </w:p>
    <w:p w14:paraId="7CD25BFA" w14:textId="77777777" w:rsidR="00F23EC9" w:rsidRDefault="00D91B65">
      <w:pPr>
        <w:widowControl w:val="0"/>
        <w:shd w:val="clear" w:color="auto" w:fill="FFFFFF" w:themeFill="background1"/>
        <w:jc w:val="both"/>
        <w:rPr>
          <w:sz w:val="24"/>
          <w:szCs w:val="24"/>
        </w:rPr>
      </w:pPr>
      <w:r>
        <w:rPr>
          <w:rFonts w:ascii="Times New Roman" w:hAnsi="Times New Roman" w:cs="Times New Roman"/>
          <w:color w:val="000000"/>
          <w:sz w:val="24"/>
          <w:szCs w:val="24"/>
        </w:rPr>
        <w:lastRenderedPageBreak/>
        <w:t>Lijes s umrlim mora se polagati na tlo ili na posebne nosače koji se u tu svrhu ugrađuju u grobnicu. Zabranjeno je lijes s umrlim ukapati na drugi način.</w:t>
      </w:r>
    </w:p>
    <w:p w14:paraId="2D1F6EB9" w14:textId="77777777" w:rsidR="00F23EC9" w:rsidRDefault="00D91B65">
      <w:pPr>
        <w:widowControl w:val="0"/>
        <w:shd w:val="clear" w:color="auto" w:fill="FFFFFF" w:themeFill="background1"/>
        <w:jc w:val="both"/>
        <w:rPr>
          <w:sz w:val="24"/>
          <w:szCs w:val="24"/>
        </w:rPr>
      </w:pPr>
      <w:r>
        <w:rPr>
          <w:rFonts w:ascii="Times New Roman" w:hAnsi="Times New Roman" w:cs="Times New Roman"/>
          <w:color w:val="000000"/>
          <w:sz w:val="24"/>
          <w:szCs w:val="24"/>
        </w:rPr>
        <w:t>Kad se lijes s umrlim spusti u grob ili grobnicu, grob se mora odmah zasuti zemljom, odnosno grobnicu zatvoriti pokrovnom pločom.</w:t>
      </w:r>
    </w:p>
    <w:p w14:paraId="29E76E13" w14:textId="77777777" w:rsidR="00F23EC9" w:rsidRDefault="00D91B65">
      <w:pPr>
        <w:widowControl w:val="0"/>
        <w:shd w:val="clear" w:color="auto" w:fill="FFFFFF" w:themeFill="background1"/>
        <w:jc w:val="both"/>
        <w:rPr>
          <w:sz w:val="24"/>
          <w:szCs w:val="24"/>
        </w:rPr>
      </w:pPr>
      <w:r>
        <w:rPr>
          <w:rFonts w:ascii="Times New Roman" w:hAnsi="Times New Roman" w:cs="Times New Roman"/>
          <w:color w:val="000000"/>
          <w:sz w:val="24"/>
          <w:szCs w:val="24"/>
        </w:rPr>
        <w:t>Grob ili grobnica u koji se ukopana osoba kod koje je smrt nastupila uslijed zarazne bolesti, mora se prilikom ukopa dezinficirati odgovarajućim sredstvima.</w:t>
      </w:r>
    </w:p>
    <w:p w14:paraId="2E769197" w14:textId="77777777" w:rsidR="00F23EC9" w:rsidRDefault="00F23EC9">
      <w:pPr>
        <w:widowControl w:val="0"/>
        <w:shd w:val="clear" w:color="auto" w:fill="FFFFFF" w:themeFill="background1"/>
        <w:jc w:val="both"/>
        <w:rPr>
          <w:rFonts w:cs="Times New Roman"/>
          <w:color w:val="000000"/>
          <w:sz w:val="24"/>
          <w:szCs w:val="24"/>
        </w:rPr>
      </w:pPr>
    </w:p>
    <w:p w14:paraId="15BC1AA9" w14:textId="77777777" w:rsidR="00F23EC9" w:rsidRDefault="00D91B65">
      <w:pPr>
        <w:pStyle w:val="Odlomakpopisa"/>
        <w:widowControl w:val="0"/>
        <w:numPr>
          <w:ilvl w:val="0"/>
          <w:numId w:val="1"/>
        </w:numPr>
        <w:shd w:val="clear" w:color="auto" w:fill="FFFFFF" w:themeFill="background1"/>
        <w:jc w:val="both"/>
        <w:rPr>
          <w:sz w:val="24"/>
          <w:szCs w:val="24"/>
        </w:rPr>
      </w:pPr>
      <w:r>
        <w:rPr>
          <w:rFonts w:ascii="Times New Roman" w:hAnsi="Times New Roman" w:cs="Times New Roman"/>
          <w:color w:val="000000"/>
          <w:sz w:val="24"/>
          <w:szCs w:val="24"/>
        </w:rPr>
        <w:t>ISKOP (EKSHUMACIJA) UMRLIH OSOBA</w:t>
      </w:r>
    </w:p>
    <w:p w14:paraId="6C577FD6" w14:textId="77777777" w:rsidR="00F23EC9" w:rsidRDefault="00D91B65">
      <w:pPr>
        <w:widowControl w:val="0"/>
        <w:shd w:val="clear" w:color="auto" w:fill="FFFFFF" w:themeFill="background1"/>
        <w:jc w:val="center"/>
        <w:rPr>
          <w:sz w:val="24"/>
          <w:szCs w:val="24"/>
        </w:rPr>
      </w:pPr>
      <w:r>
        <w:rPr>
          <w:rFonts w:ascii="Times New Roman" w:hAnsi="Times New Roman" w:cs="Times New Roman"/>
          <w:color w:val="000000"/>
          <w:sz w:val="24"/>
          <w:szCs w:val="24"/>
        </w:rPr>
        <w:t>Članak 36.</w:t>
      </w:r>
    </w:p>
    <w:p w14:paraId="73D028A7" w14:textId="77777777" w:rsidR="00F23EC9" w:rsidRDefault="00D91B65">
      <w:pPr>
        <w:widowControl w:val="0"/>
        <w:jc w:val="both"/>
        <w:rPr>
          <w:sz w:val="24"/>
          <w:szCs w:val="24"/>
        </w:rPr>
      </w:pPr>
      <w:r>
        <w:rPr>
          <w:rFonts w:ascii="Times New Roman" w:hAnsi="Times New Roman" w:cs="Times New Roman"/>
          <w:color w:val="000000"/>
          <w:sz w:val="24"/>
          <w:szCs w:val="24"/>
        </w:rPr>
        <w:t>Iskop (ekshumacija) umrlih osoba, obavlja se na zahtjev rodbine, osobe koje su se brinule o ukopu i po službenoj dužnosti kada za to postoje opravdani razlozi ili po odluci suda.</w:t>
      </w:r>
    </w:p>
    <w:p w14:paraId="13B48EE0" w14:textId="77777777" w:rsidR="00F23EC9" w:rsidRDefault="00D91B65">
      <w:pPr>
        <w:widowControl w:val="0"/>
        <w:jc w:val="both"/>
        <w:rPr>
          <w:sz w:val="24"/>
          <w:szCs w:val="24"/>
        </w:rPr>
      </w:pPr>
      <w:r>
        <w:rPr>
          <w:rFonts w:ascii="Times New Roman" w:hAnsi="Times New Roman" w:cs="Times New Roman"/>
          <w:color w:val="000000"/>
          <w:sz w:val="24"/>
          <w:szCs w:val="24"/>
        </w:rPr>
        <w:t>Ekshumaciju umrlih osoba, prijenos na drugo mjesto i ponovno ukapanje obavlja se u skladu s važećim propisima.</w:t>
      </w:r>
    </w:p>
    <w:p w14:paraId="10D9D2C3" w14:textId="77777777" w:rsidR="00F23EC9" w:rsidRDefault="00D91B65">
      <w:pPr>
        <w:widowControl w:val="0"/>
        <w:jc w:val="both"/>
        <w:rPr>
          <w:sz w:val="24"/>
          <w:szCs w:val="24"/>
        </w:rPr>
      </w:pPr>
      <w:r>
        <w:rPr>
          <w:rFonts w:ascii="Times New Roman" w:hAnsi="Times New Roman" w:cs="Times New Roman"/>
          <w:color w:val="000000"/>
          <w:sz w:val="24"/>
          <w:szCs w:val="24"/>
        </w:rPr>
        <w:t xml:space="preserve">Ekshumaciju obavlja </w:t>
      </w:r>
      <w:r>
        <w:rPr>
          <w:rFonts w:ascii="Times New Roman" w:hAnsi="Times New Roman" w:cs="Times New Roman"/>
          <w:sz w:val="24"/>
          <w:szCs w:val="24"/>
        </w:rPr>
        <w:t>Upravitelj</w:t>
      </w:r>
      <w:r>
        <w:rPr>
          <w:rFonts w:ascii="Times New Roman" w:hAnsi="Times New Roman" w:cs="Times New Roman"/>
          <w:color w:val="000000"/>
          <w:sz w:val="24"/>
          <w:szCs w:val="24"/>
        </w:rPr>
        <w:t xml:space="preserve"> groblja.</w:t>
      </w:r>
    </w:p>
    <w:p w14:paraId="0F773CD6" w14:textId="77777777" w:rsidR="00F23EC9" w:rsidRDefault="00D91B65">
      <w:pPr>
        <w:jc w:val="both"/>
        <w:rPr>
          <w:sz w:val="24"/>
          <w:szCs w:val="24"/>
        </w:rPr>
      </w:pPr>
      <w:r>
        <w:rPr>
          <w:rFonts w:ascii="Times New Roman" w:hAnsi="Times New Roman" w:cs="Times New Roman"/>
          <w:sz w:val="24"/>
          <w:szCs w:val="24"/>
        </w:rPr>
        <w:t>Ekshumacija pokojnika obavljat će se u slučajevima i na način utvrđen zakonskim odredbama i drugim propisima.</w:t>
      </w:r>
    </w:p>
    <w:p w14:paraId="6C65A7D8" w14:textId="77777777" w:rsidR="00F23EC9" w:rsidRDefault="00F23EC9">
      <w:pPr>
        <w:jc w:val="both"/>
        <w:rPr>
          <w:rFonts w:cs="Times New Roman"/>
          <w:sz w:val="24"/>
          <w:szCs w:val="24"/>
        </w:rPr>
      </w:pPr>
    </w:p>
    <w:p w14:paraId="12E4FBF6" w14:textId="495FADEE" w:rsidR="00F23EC9" w:rsidRDefault="00D91B65">
      <w:pPr>
        <w:pStyle w:val="Odlomakpopisa"/>
        <w:numPr>
          <w:ilvl w:val="0"/>
          <w:numId w:val="1"/>
        </w:numPr>
        <w:jc w:val="both"/>
        <w:rPr>
          <w:sz w:val="24"/>
          <w:szCs w:val="24"/>
        </w:rPr>
      </w:pPr>
      <w:r>
        <w:rPr>
          <w:rFonts w:ascii="Times New Roman" w:hAnsi="Times New Roman" w:cs="Times New Roman"/>
          <w:sz w:val="24"/>
          <w:szCs w:val="24"/>
        </w:rPr>
        <w:t>VREMENSKI RAZMACI UKOPA U POPUNJENA GROBN</w:t>
      </w:r>
      <w:r w:rsidR="007A5BDC">
        <w:rPr>
          <w:rFonts w:ascii="Times New Roman" w:hAnsi="Times New Roman" w:cs="Times New Roman"/>
          <w:sz w:val="24"/>
          <w:szCs w:val="24"/>
        </w:rPr>
        <w:t>A</w:t>
      </w:r>
      <w:r>
        <w:rPr>
          <w:rFonts w:ascii="Times New Roman" w:hAnsi="Times New Roman" w:cs="Times New Roman"/>
          <w:sz w:val="24"/>
          <w:szCs w:val="24"/>
        </w:rPr>
        <w:t xml:space="preserve"> MJESTA</w:t>
      </w:r>
    </w:p>
    <w:p w14:paraId="75A2D4D2" w14:textId="77777777" w:rsidR="00F23EC9" w:rsidRDefault="00D91B65">
      <w:pPr>
        <w:jc w:val="center"/>
        <w:rPr>
          <w:sz w:val="24"/>
          <w:szCs w:val="24"/>
        </w:rPr>
      </w:pPr>
      <w:r>
        <w:rPr>
          <w:rFonts w:ascii="Times New Roman" w:hAnsi="Times New Roman" w:cs="Times New Roman"/>
          <w:sz w:val="24"/>
          <w:szCs w:val="24"/>
        </w:rPr>
        <w:t>Članak 37.</w:t>
      </w:r>
    </w:p>
    <w:p w14:paraId="02CB6EEF" w14:textId="77777777" w:rsidR="00F23EC9" w:rsidRDefault="00D91B65">
      <w:pPr>
        <w:jc w:val="both"/>
        <w:rPr>
          <w:sz w:val="24"/>
          <w:szCs w:val="24"/>
        </w:rPr>
      </w:pPr>
      <w:r>
        <w:rPr>
          <w:rFonts w:ascii="Times New Roman" w:hAnsi="Times New Roman" w:cs="Times New Roman"/>
          <w:sz w:val="24"/>
          <w:szCs w:val="24"/>
        </w:rPr>
        <w:t>U popunjena grobna mjesta ukop se može odobriti i redovno obaviti nakon isteka 10 godina od posljednjeg ukopa u grob, odnosno 20 godina u grobnicu, a ovisno o vrsti grobnog mjesta</w:t>
      </w:r>
    </w:p>
    <w:p w14:paraId="516B7701" w14:textId="77777777" w:rsidR="00F23EC9" w:rsidRDefault="00D91B65">
      <w:pPr>
        <w:jc w:val="both"/>
        <w:rPr>
          <w:sz w:val="24"/>
          <w:szCs w:val="24"/>
        </w:rPr>
      </w:pPr>
      <w:r>
        <w:rPr>
          <w:rFonts w:ascii="Times New Roman" w:hAnsi="Times New Roman" w:cs="Times New Roman"/>
          <w:sz w:val="24"/>
          <w:szCs w:val="24"/>
        </w:rPr>
        <w:t>utvrđenog u Grobnom očevidniku Uprave groblja, ako su stečeni sanitarni uvjeti za sabiranje i zbrinjavanje posmrtnih ostataka.</w:t>
      </w:r>
    </w:p>
    <w:p w14:paraId="22C13357" w14:textId="77777777" w:rsidR="00F23EC9" w:rsidRDefault="00D91B65">
      <w:pPr>
        <w:jc w:val="center"/>
        <w:rPr>
          <w:sz w:val="24"/>
          <w:szCs w:val="24"/>
        </w:rPr>
      </w:pPr>
      <w:r>
        <w:rPr>
          <w:rFonts w:ascii="Times New Roman" w:hAnsi="Times New Roman" w:cs="Times New Roman"/>
          <w:sz w:val="24"/>
          <w:szCs w:val="24"/>
        </w:rPr>
        <w:t>Članak 38.</w:t>
      </w:r>
    </w:p>
    <w:p w14:paraId="68DB5024" w14:textId="77777777" w:rsidR="00F23EC9" w:rsidRDefault="00D91B65">
      <w:pPr>
        <w:jc w:val="both"/>
        <w:rPr>
          <w:sz w:val="24"/>
          <w:szCs w:val="24"/>
        </w:rPr>
      </w:pPr>
      <w:r>
        <w:rPr>
          <w:rFonts w:ascii="Times New Roman" w:hAnsi="Times New Roman" w:cs="Times New Roman"/>
          <w:sz w:val="24"/>
          <w:szCs w:val="24"/>
        </w:rPr>
        <w:t>U napuštena grobna mjesta ukop se može obaviti nakon proteka 10 godina od posljednjeg ukopa u grob, odnosno nakon proteka 20 godina od ukopa u grobnicu.</w:t>
      </w:r>
    </w:p>
    <w:p w14:paraId="409E767B" w14:textId="77777777" w:rsidR="00F23EC9" w:rsidRDefault="00F23EC9">
      <w:pPr>
        <w:jc w:val="both"/>
        <w:rPr>
          <w:sz w:val="24"/>
          <w:szCs w:val="24"/>
        </w:rPr>
      </w:pPr>
    </w:p>
    <w:p w14:paraId="1A341AC3" w14:textId="77777777" w:rsidR="00F23EC9" w:rsidRDefault="00D91B65">
      <w:pPr>
        <w:jc w:val="center"/>
        <w:rPr>
          <w:sz w:val="24"/>
          <w:szCs w:val="24"/>
        </w:rPr>
      </w:pPr>
      <w:r>
        <w:rPr>
          <w:rFonts w:ascii="Times New Roman" w:hAnsi="Times New Roman" w:cs="Times New Roman"/>
          <w:sz w:val="24"/>
          <w:szCs w:val="24"/>
        </w:rPr>
        <w:t>Članak 39.</w:t>
      </w:r>
    </w:p>
    <w:p w14:paraId="5BF368A8" w14:textId="77777777" w:rsidR="00F23EC9" w:rsidRDefault="00D91B65">
      <w:pPr>
        <w:jc w:val="both"/>
        <w:rPr>
          <w:sz w:val="24"/>
          <w:szCs w:val="24"/>
        </w:rPr>
      </w:pPr>
      <w:r>
        <w:rPr>
          <w:rFonts w:ascii="Times New Roman" w:hAnsi="Times New Roman" w:cs="Times New Roman"/>
          <w:sz w:val="24"/>
          <w:szCs w:val="24"/>
        </w:rPr>
        <w:t>Upravitelj groblja će prije dodjele napuštenog grobnog mjesta drugom korisniku premjestiti ostatke preminulog iz napuštenog grobnog mjesta u zajedničko grobno mjesto izrađeno za tu namjenu.</w:t>
      </w:r>
    </w:p>
    <w:p w14:paraId="2402C941" w14:textId="77777777" w:rsidR="00F23EC9" w:rsidRDefault="00D91B65">
      <w:pPr>
        <w:jc w:val="center"/>
        <w:rPr>
          <w:sz w:val="24"/>
          <w:szCs w:val="24"/>
        </w:rPr>
      </w:pPr>
      <w:r>
        <w:rPr>
          <w:rFonts w:ascii="Times New Roman" w:hAnsi="Times New Roman" w:cs="Times New Roman"/>
          <w:sz w:val="24"/>
          <w:szCs w:val="24"/>
        </w:rPr>
        <w:t>Članak 40.</w:t>
      </w:r>
    </w:p>
    <w:p w14:paraId="19EF7C63" w14:textId="77777777" w:rsidR="00F23EC9" w:rsidRDefault="00D91B65">
      <w:pPr>
        <w:jc w:val="both"/>
        <w:rPr>
          <w:sz w:val="24"/>
          <w:szCs w:val="24"/>
        </w:rPr>
      </w:pPr>
      <w:r>
        <w:rPr>
          <w:rFonts w:ascii="Times New Roman" w:hAnsi="Times New Roman" w:cs="Times New Roman"/>
          <w:sz w:val="24"/>
          <w:szCs w:val="24"/>
        </w:rPr>
        <w:t>Sredstva za redovno održavanje groblja osiguravaju se iz naknade za dodijeljeno grobno mjesto i sredstava godišnje grobne naknade.</w:t>
      </w:r>
    </w:p>
    <w:p w14:paraId="1383972B" w14:textId="77777777" w:rsidR="00F23EC9" w:rsidRDefault="00D91B65">
      <w:pPr>
        <w:jc w:val="both"/>
        <w:rPr>
          <w:sz w:val="24"/>
          <w:szCs w:val="24"/>
        </w:rPr>
      </w:pPr>
      <w:r>
        <w:rPr>
          <w:rFonts w:ascii="Times New Roman" w:hAnsi="Times New Roman" w:cs="Times New Roman"/>
          <w:sz w:val="24"/>
          <w:szCs w:val="24"/>
        </w:rPr>
        <w:t>Sredstva za investicijsko ulaganje i proširenje groblja osiguravaju se iz sredstava proračuna Grada Pregrade.</w:t>
      </w:r>
    </w:p>
    <w:p w14:paraId="3A4AFEC0" w14:textId="77777777" w:rsidR="00F23EC9" w:rsidRDefault="00F23EC9">
      <w:pPr>
        <w:jc w:val="both"/>
        <w:rPr>
          <w:rFonts w:ascii="Times New Roman" w:hAnsi="Times New Roman"/>
          <w:sz w:val="24"/>
          <w:szCs w:val="24"/>
        </w:rPr>
      </w:pPr>
    </w:p>
    <w:p w14:paraId="6A1BD314" w14:textId="77777777" w:rsidR="00F23EC9" w:rsidRDefault="00D91B65">
      <w:pPr>
        <w:pStyle w:val="Odlomakpopisa"/>
        <w:numPr>
          <w:ilvl w:val="0"/>
          <w:numId w:val="1"/>
        </w:numPr>
        <w:jc w:val="both"/>
        <w:rPr>
          <w:sz w:val="24"/>
          <w:szCs w:val="24"/>
        </w:rPr>
      </w:pPr>
      <w:r>
        <w:rPr>
          <w:rFonts w:ascii="Times New Roman" w:hAnsi="Times New Roman" w:cs="Times New Roman"/>
          <w:sz w:val="24"/>
          <w:szCs w:val="24"/>
        </w:rPr>
        <w:t>NADZOR I PREKRŠAJNE ODREDBE</w:t>
      </w:r>
    </w:p>
    <w:p w14:paraId="487DA378" w14:textId="77777777" w:rsidR="00F23EC9" w:rsidRDefault="00D91B65">
      <w:pPr>
        <w:jc w:val="center"/>
        <w:rPr>
          <w:sz w:val="24"/>
          <w:szCs w:val="24"/>
        </w:rPr>
      </w:pPr>
      <w:r>
        <w:rPr>
          <w:rFonts w:ascii="Times New Roman" w:hAnsi="Times New Roman" w:cs="Times New Roman"/>
          <w:sz w:val="24"/>
          <w:szCs w:val="24"/>
        </w:rPr>
        <w:t>Članak 41.</w:t>
      </w:r>
    </w:p>
    <w:p w14:paraId="16F52071" w14:textId="77777777" w:rsidR="00F23EC9" w:rsidRDefault="00D91B65">
      <w:pPr>
        <w:jc w:val="both"/>
        <w:rPr>
          <w:sz w:val="24"/>
          <w:szCs w:val="24"/>
        </w:rPr>
      </w:pPr>
      <w:r>
        <w:rPr>
          <w:rFonts w:ascii="Times New Roman" w:hAnsi="Times New Roman" w:cs="Times New Roman"/>
          <w:sz w:val="24"/>
          <w:szCs w:val="24"/>
        </w:rPr>
        <w:t>Nadzor nad provedbom ove Odluke provodi Upravni odjel za financije i gospodarstvo putem komunalnog redara Grada Pregrade u skladu s ovlastima koje proizlaze iz zakona kojim se uređuje održavanje komunalnog reda.</w:t>
      </w:r>
    </w:p>
    <w:p w14:paraId="54EA4D77" w14:textId="77777777" w:rsidR="00F23EC9" w:rsidRDefault="00D91B65">
      <w:pPr>
        <w:jc w:val="center"/>
        <w:rPr>
          <w:sz w:val="24"/>
          <w:szCs w:val="24"/>
        </w:rPr>
      </w:pPr>
      <w:r>
        <w:rPr>
          <w:rFonts w:ascii="Times New Roman" w:hAnsi="Times New Roman" w:cs="Times New Roman"/>
          <w:sz w:val="24"/>
          <w:szCs w:val="24"/>
        </w:rPr>
        <w:t>Članak 42.</w:t>
      </w:r>
    </w:p>
    <w:p w14:paraId="3BAAB3D5" w14:textId="77777777" w:rsidR="00F23EC9" w:rsidRDefault="00D91B65">
      <w:pPr>
        <w:pStyle w:val="Predformatirantekst"/>
        <w:jc w:val="both"/>
        <w:rPr>
          <w:rFonts w:ascii="Times New Roman" w:hAnsi="Times New Roman" w:cs="Times New Roman"/>
          <w:sz w:val="24"/>
          <w:szCs w:val="24"/>
        </w:rPr>
      </w:pPr>
      <w:r>
        <w:rPr>
          <w:rFonts w:ascii="Times New Roman" w:hAnsi="Times New Roman" w:cs="Times New Roman"/>
          <w:sz w:val="24"/>
          <w:szCs w:val="24"/>
        </w:rPr>
        <w:t>Novčanom kaznom u iznosu od 130,00 do 260,00 eura kaznit će se za prekršaj fizička osoba ako postupa protivno zabranama iz Članka 30. ove Odluke.</w:t>
      </w:r>
    </w:p>
    <w:p w14:paraId="1EC1D7E9" w14:textId="77777777" w:rsidR="00F23EC9" w:rsidRDefault="00D91B65">
      <w:pPr>
        <w:pStyle w:val="Predformatirantekst"/>
        <w:jc w:val="both"/>
        <w:rPr>
          <w:sz w:val="24"/>
          <w:szCs w:val="24"/>
        </w:rPr>
      </w:pPr>
      <w:r>
        <w:rPr>
          <w:rFonts w:ascii="Times New Roman" w:hAnsi="Times New Roman"/>
          <w:sz w:val="24"/>
          <w:szCs w:val="24"/>
        </w:rPr>
        <w:t>Novčanom kaznom u iznosu od 260,00 do 663,00 eura kaznit će se za prekršaj pravna osoba ako postupa protivno zabranama iz Članka 30. ove Odluke.</w:t>
      </w:r>
    </w:p>
    <w:p w14:paraId="0D84BDD8" w14:textId="77777777" w:rsidR="00F23EC9" w:rsidRDefault="00D91B65">
      <w:pPr>
        <w:pStyle w:val="Predformatirantekst"/>
        <w:spacing w:after="283"/>
        <w:jc w:val="both"/>
        <w:rPr>
          <w:sz w:val="24"/>
          <w:szCs w:val="24"/>
        </w:rPr>
      </w:pPr>
      <w:r>
        <w:rPr>
          <w:rFonts w:ascii="Times New Roman" w:hAnsi="Times New Roman"/>
          <w:sz w:val="24"/>
          <w:szCs w:val="24"/>
        </w:rPr>
        <w:lastRenderedPageBreak/>
        <w:t>Novčanom kaznom u iznosu od 130,00 do 300,00 eura kaznit će se i odgovorna osoba u pravnoj osobi, kao i fizička osoba obrtnik i osoba koja obavlja drugu samostalnu djelatnost koja počini prekršaj iz stavka 1. ovoga članka u vezi s obavljanjem njezina obrta ili druge samostalne djelatnosti.</w:t>
      </w:r>
    </w:p>
    <w:p w14:paraId="3873C3C9" w14:textId="77777777" w:rsidR="00F23EC9" w:rsidRDefault="00D91B65">
      <w:pPr>
        <w:pStyle w:val="Predformatirantekst"/>
        <w:numPr>
          <w:ilvl w:val="0"/>
          <w:numId w:val="1"/>
        </w:numPr>
        <w:spacing w:after="283"/>
        <w:jc w:val="both"/>
        <w:rPr>
          <w:sz w:val="24"/>
          <w:szCs w:val="24"/>
        </w:rPr>
      </w:pPr>
      <w:r>
        <w:rPr>
          <w:rFonts w:ascii="Times New Roman" w:hAnsi="Times New Roman" w:cs="Times New Roman"/>
          <w:sz w:val="24"/>
          <w:szCs w:val="24"/>
        </w:rPr>
        <w:t>PRIJELAZNE I ZAVRŠNE ODREDBE</w:t>
      </w:r>
    </w:p>
    <w:p w14:paraId="4C2AD853" w14:textId="77777777" w:rsidR="00F23EC9" w:rsidRDefault="00D91B65">
      <w:pPr>
        <w:jc w:val="center"/>
        <w:rPr>
          <w:sz w:val="24"/>
          <w:szCs w:val="24"/>
        </w:rPr>
      </w:pPr>
      <w:r>
        <w:rPr>
          <w:rFonts w:ascii="Times New Roman" w:hAnsi="Times New Roman" w:cs="Times New Roman"/>
          <w:sz w:val="24"/>
          <w:szCs w:val="24"/>
        </w:rPr>
        <w:t>Članak 43.</w:t>
      </w:r>
    </w:p>
    <w:p w14:paraId="22B9CDFB" w14:textId="77777777" w:rsidR="00F23EC9" w:rsidRDefault="00D91B65">
      <w:pPr>
        <w:jc w:val="both"/>
        <w:rPr>
          <w:sz w:val="24"/>
          <w:szCs w:val="24"/>
        </w:rPr>
      </w:pPr>
      <w:r>
        <w:rPr>
          <w:rFonts w:ascii="Times New Roman" w:hAnsi="Times New Roman" w:cs="Times New Roman"/>
          <w:sz w:val="24"/>
          <w:szCs w:val="24"/>
        </w:rPr>
        <w:t>Stupanjem na snagu ove Odluke prestaje važiti Odluka o grobljima („Službeni glasnik Krapinsko – zagorske županije” broj 51/20).</w:t>
      </w:r>
    </w:p>
    <w:p w14:paraId="4D1FEA41" w14:textId="77777777" w:rsidR="00F23EC9" w:rsidRDefault="00D91B65">
      <w:pPr>
        <w:jc w:val="both"/>
        <w:rPr>
          <w:sz w:val="24"/>
          <w:szCs w:val="24"/>
        </w:rPr>
      </w:pPr>
      <w:r>
        <w:rPr>
          <w:rFonts w:ascii="Times New Roman" w:hAnsi="Times New Roman" w:cs="Times New Roman"/>
          <w:sz w:val="24"/>
          <w:szCs w:val="24"/>
        </w:rPr>
        <w:t>Ova Odluka stupa na snagu osmog dana od dana objave u „Službenom glasniku Krapinsko – zagorske županije.“</w:t>
      </w:r>
    </w:p>
    <w:p w14:paraId="5C6A91CF" w14:textId="77777777" w:rsidR="00F23EC9" w:rsidRDefault="00F23EC9">
      <w:pPr>
        <w:jc w:val="both"/>
        <w:rPr>
          <w:rFonts w:ascii="Times New Roman" w:hAnsi="Times New Roman" w:cs="Times New Roman"/>
          <w:sz w:val="24"/>
          <w:szCs w:val="24"/>
        </w:rPr>
      </w:pPr>
    </w:p>
    <w:p w14:paraId="7F689600" w14:textId="77777777" w:rsidR="00F23EC9" w:rsidRDefault="00D91B65">
      <w:pPr>
        <w:ind w:left="2832" w:firstLine="708"/>
        <w:jc w:val="right"/>
        <w:rPr>
          <w:sz w:val="24"/>
          <w:szCs w:val="24"/>
        </w:rPr>
      </w:pPr>
      <w:r>
        <w:rPr>
          <w:rFonts w:ascii="Times New Roman" w:hAnsi="Times New Roman" w:cs="Times New Roman"/>
          <w:sz w:val="24"/>
          <w:szCs w:val="24"/>
        </w:rPr>
        <w:t xml:space="preserve"> PREDSJEDNICA GRADSKOG VIJEĆA</w:t>
      </w:r>
    </w:p>
    <w:p w14:paraId="6A4F7C1A" w14:textId="77777777" w:rsidR="00F23EC9" w:rsidRDefault="00D91B65">
      <w:pPr>
        <w:jc w:val="right"/>
        <w:rPr>
          <w:sz w:val="24"/>
          <w:szCs w:val="24"/>
        </w:rPr>
      </w:pPr>
      <w:r>
        <w:rPr>
          <w:rFonts w:ascii="Times New Roman" w:hAnsi="Times New Roman" w:cs="Times New Roman"/>
          <w:sz w:val="24"/>
          <w:szCs w:val="24"/>
        </w:rPr>
        <w:t>Davorka Filipčić</w:t>
      </w:r>
    </w:p>
    <w:p w14:paraId="0658E643" w14:textId="77777777" w:rsidR="00F23EC9" w:rsidRDefault="00F23EC9">
      <w:pPr>
        <w:jc w:val="both"/>
        <w:rPr>
          <w:rFonts w:ascii="Times New Roman" w:hAnsi="Times New Roman"/>
          <w:sz w:val="24"/>
          <w:szCs w:val="24"/>
        </w:rPr>
      </w:pPr>
    </w:p>
    <w:p w14:paraId="1B8652A3" w14:textId="77777777" w:rsidR="00F23EC9" w:rsidRDefault="00F23EC9">
      <w:pPr>
        <w:rPr>
          <w:sz w:val="24"/>
          <w:szCs w:val="24"/>
        </w:rPr>
      </w:pPr>
    </w:p>
    <w:p w14:paraId="0B1CF6D5" w14:textId="77777777" w:rsidR="00F23EC9" w:rsidRDefault="00F23EC9">
      <w:pPr>
        <w:spacing w:after="160"/>
        <w:jc w:val="right"/>
        <w:rPr>
          <w:rFonts w:eastAsia="Times New Roman" w:cs="Times New Roman"/>
          <w:sz w:val="24"/>
          <w:szCs w:val="24"/>
        </w:rPr>
      </w:pPr>
    </w:p>
    <w:p w14:paraId="71360505" w14:textId="77777777" w:rsidR="00F23EC9" w:rsidRDefault="00F23EC9">
      <w:pPr>
        <w:spacing w:after="160"/>
        <w:rPr>
          <w:rFonts w:eastAsia="Times New Roman" w:cs="Times New Roman"/>
          <w:sz w:val="24"/>
          <w:szCs w:val="24"/>
        </w:rPr>
      </w:pPr>
    </w:p>
    <w:p w14:paraId="406B8122" w14:textId="77777777" w:rsidR="00F23EC9" w:rsidRDefault="00F23EC9">
      <w:pPr>
        <w:spacing w:after="160"/>
        <w:rPr>
          <w:rFonts w:eastAsia="Times New Roman" w:cs="Times New Roman"/>
          <w:sz w:val="24"/>
          <w:szCs w:val="24"/>
        </w:rPr>
      </w:pPr>
    </w:p>
    <w:p w14:paraId="7745D9FA" w14:textId="77777777" w:rsidR="00F23EC9" w:rsidRDefault="00F23EC9">
      <w:pPr>
        <w:spacing w:after="160"/>
        <w:rPr>
          <w:rFonts w:eastAsia="Times New Roman" w:cs="Times New Roman"/>
          <w:sz w:val="24"/>
          <w:szCs w:val="24"/>
        </w:rPr>
      </w:pPr>
    </w:p>
    <w:p w14:paraId="4DC849D9" w14:textId="77777777" w:rsidR="00F23EC9" w:rsidRDefault="00F23EC9">
      <w:pPr>
        <w:rPr>
          <w:b/>
          <w:sz w:val="24"/>
          <w:szCs w:val="24"/>
        </w:rPr>
      </w:pPr>
    </w:p>
    <w:p w14:paraId="17C5F7C1" w14:textId="77777777" w:rsidR="00F23EC9" w:rsidRDefault="00F23EC9">
      <w:pPr>
        <w:rPr>
          <w:b/>
          <w:sz w:val="24"/>
          <w:szCs w:val="24"/>
        </w:rPr>
      </w:pPr>
    </w:p>
    <w:p w14:paraId="20BE6C80" w14:textId="77777777" w:rsidR="00F23EC9" w:rsidRDefault="00F23EC9">
      <w:pPr>
        <w:rPr>
          <w:b/>
          <w:sz w:val="24"/>
          <w:szCs w:val="24"/>
        </w:rPr>
      </w:pPr>
    </w:p>
    <w:p w14:paraId="4455259E" w14:textId="77777777" w:rsidR="00F23EC9" w:rsidRDefault="00F23EC9">
      <w:pPr>
        <w:rPr>
          <w:b/>
          <w:sz w:val="24"/>
          <w:szCs w:val="24"/>
        </w:rPr>
      </w:pPr>
    </w:p>
    <w:p w14:paraId="1191044E" w14:textId="77777777" w:rsidR="00F23EC9" w:rsidRDefault="00F23EC9">
      <w:pPr>
        <w:rPr>
          <w:b/>
          <w:sz w:val="24"/>
          <w:szCs w:val="24"/>
        </w:rPr>
      </w:pPr>
    </w:p>
    <w:p w14:paraId="035ED904" w14:textId="77777777" w:rsidR="00F23EC9" w:rsidRDefault="00F23EC9">
      <w:pPr>
        <w:rPr>
          <w:b/>
          <w:sz w:val="24"/>
          <w:szCs w:val="24"/>
        </w:rPr>
      </w:pPr>
    </w:p>
    <w:p w14:paraId="68B8162A" w14:textId="77777777" w:rsidR="00F23EC9" w:rsidRDefault="00F23EC9">
      <w:pPr>
        <w:rPr>
          <w:b/>
          <w:sz w:val="24"/>
          <w:szCs w:val="24"/>
        </w:rPr>
      </w:pPr>
    </w:p>
    <w:p w14:paraId="79372D6F" w14:textId="77777777" w:rsidR="00F23EC9" w:rsidRDefault="00F23EC9">
      <w:pPr>
        <w:rPr>
          <w:b/>
          <w:sz w:val="24"/>
          <w:szCs w:val="24"/>
        </w:rPr>
      </w:pPr>
    </w:p>
    <w:p w14:paraId="54D6F5E8" w14:textId="77777777" w:rsidR="00F23EC9" w:rsidRDefault="00F23EC9">
      <w:pPr>
        <w:rPr>
          <w:b/>
          <w:sz w:val="24"/>
          <w:szCs w:val="24"/>
        </w:rPr>
      </w:pPr>
    </w:p>
    <w:p w14:paraId="55A4A56A" w14:textId="77777777" w:rsidR="00F23EC9" w:rsidRDefault="00F23EC9">
      <w:pPr>
        <w:rPr>
          <w:b/>
          <w:sz w:val="24"/>
          <w:szCs w:val="24"/>
        </w:rPr>
      </w:pPr>
    </w:p>
    <w:p w14:paraId="286AAF12" w14:textId="77777777" w:rsidR="00F23EC9" w:rsidRDefault="00F23EC9">
      <w:pPr>
        <w:rPr>
          <w:b/>
          <w:sz w:val="24"/>
          <w:szCs w:val="24"/>
        </w:rPr>
      </w:pPr>
    </w:p>
    <w:p w14:paraId="1FCB1E08" w14:textId="77777777" w:rsidR="00F23EC9" w:rsidRDefault="00F23EC9">
      <w:pPr>
        <w:rPr>
          <w:b/>
          <w:sz w:val="24"/>
          <w:szCs w:val="24"/>
        </w:rPr>
      </w:pPr>
    </w:p>
    <w:p w14:paraId="4E4BE03D" w14:textId="77777777" w:rsidR="00F23EC9" w:rsidRDefault="00F23EC9">
      <w:pPr>
        <w:rPr>
          <w:b/>
          <w:sz w:val="24"/>
          <w:szCs w:val="24"/>
        </w:rPr>
      </w:pPr>
    </w:p>
    <w:p w14:paraId="4FE65B00" w14:textId="77777777" w:rsidR="00F23EC9" w:rsidRDefault="00F23EC9">
      <w:pPr>
        <w:rPr>
          <w:b/>
          <w:sz w:val="24"/>
          <w:szCs w:val="24"/>
        </w:rPr>
      </w:pPr>
    </w:p>
    <w:p w14:paraId="533DFCD8" w14:textId="77777777" w:rsidR="00F23EC9" w:rsidRDefault="00F23EC9">
      <w:pPr>
        <w:rPr>
          <w:b/>
          <w:sz w:val="24"/>
          <w:szCs w:val="24"/>
        </w:rPr>
      </w:pPr>
    </w:p>
    <w:p w14:paraId="0C19CF40" w14:textId="77777777" w:rsidR="00F23EC9" w:rsidRDefault="00F23EC9">
      <w:pPr>
        <w:rPr>
          <w:b/>
          <w:sz w:val="24"/>
          <w:szCs w:val="24"/>
        </w:rPr>
      </w:pPr>
    </w:p>
    <w:p w14:paraId="5530897D" w14:textId="77777777" w:rsidR="00F23EC9" w:rsidRDefault="00F23EC9">
      <w:pPr>
        <w:rPr>
          <w:b/>
          <w:sz w:val="24"/>
          <w:szCs w:val="24"/>
        </w:rPr>
      </w:pPr>
    </w:p>
    <w:p w14:paraId="421765F0" w14:textId="77777777" w:rsidR="00F23EC9" w:rsidRDefault="00F23EC9">
      <w:pPr>
        <w:rPr>
          <w:b/>
          <w:sz w:val="24"/>
          <w:szCs w:val="24"/>
        </w:rPr>
      </w:pPr>
    </w:p>
    <w:p w14:paraId="16AE86C0" w14:textId="77777777" w:rsidR="00F23EC9" w:rsidRDefault="00F23EC9">
      <w:pPr>
        <w:rPr>
          <w:b/>
          <w:sz w:val="24"/>
          <w:szCs w:val="24"/>
        </w:rPr>
      </w:pPr>
    </w:p>
    <w:p w14:paraId="40743011" w14:textId="77777777" w:rsidR="00F23EC9" w:rsidRDefault="00F23EC9">
      <w:pPr>
        <w:rPr>
          <w:b/>
          <w:sz w:val="24"/>
          <w:szCs w:val="24"/>
        </w:rPr>
      </w:pPr>
    </w:p>
    <w:p w14:paraId="4464DE7B" w14:textId="77777777" w:rsidR="00F23EC9" w:rsidRDefault="00F23EC9">
      <w:pPr>
        <w:rPr>
          <w:b/>
          <w:sz w:val="24"/>
          <w:szCs w:val="24"/>
        </w:rPr>
      </w:pPr>
    </w:p>
    <w:p w14:paraId="6CB7FA82" w14:textId="77777777" w:rsidR="00F23EC9" w:rsidRDefault="00F23EC9">
      <w:pPr>
        <w:rPr>
          <w:b/>
          <w:sz w:val="24"/>
          <w:szCs w:val="24"/>
        </w:rPr>
      </w:pPr>
    </w:p>
    <w:p w14:paraId="691247A8" w14:textId="77777777" w:rsidR="00F23EC9" w:rsidRDefault="00F23EC9">
      <w:pPr>
        <w:rPr>
          <w:b/>
          <w:sz w:val="24"/>
          <w:szCs w:val="24"/>
        </w:rPr>
      </w:pPr>
    </w:p>
    <w:p w14:paraId="7D53F0BD" w14:textId="77777777" w:rsidR="00F23EC9" w:rsidRDefault="00F23EC9">
      <w:pPr>
        <w:rPr>
          <w:b/>
          <w:sz w:val="24"/>
          <w:szCs w:val="24"/>
        </w:rPr>
      </w:pPr>
    </w:p>
    <w:p w14:paraId="18477467" w14:textId="77777777" w:rsidR="00F23EC9" w:rsidRDefault="00F23EC9">
      <w:pPr>
        <w:rPr>
          <w:b/>
          <w:sz w:val="24"/>
          <w:szCs w:val="24"/>
        </w:rPr>
      </w:pPr>
    </w:p>
    <w:p w14:paraId="08496312" w14:textId="29D76349" w:rsidR="00F23EC9" w:rsidRDefault="00D91B65">
      <w:pPr>
        <w:jc w:val="center"/>
        <w:rPr>
          <w:rFonts w:ascii="Times New Roman" w:hAnsi="Times New Roman"/>
          <w:sz w:val="24"/>
          <w:szCs w:val="24"/>
        </w:rPr>
      </w:pPr>
      <w:r>
        <w:rPr>
          <w:rFonts w:ascii="Times New Roman" w:hAnsi="Times New Roman"/>
          <w:sz w:val="24"/>
          <w:szCs w:val="24"/>
        </w:rPr>
        <w:lastRenderedPageBreak/>
        <w:t xml:space="preserve">OBRAZLOŽENJE </w:t>
      </w:r>
      <w:r w:rsidR="00A961ED">
        <w:rPr>
          <w:noProof/>
        </w:rPr>
        <w:pict w14:anchorId="7D473FEE">
          <v:shapetype id="_x0000_t202" coordsize="21600,21600" o:spt="202" path="m,l,21600r21600,l21600,xe">
            <v:stroke joinstyle="miter"/>
            <v:path gradientshapeok="t" o:connecttype="rect"/>
          </v:shapetype>
          <v:shape id="Okvir2" o:spid="_x0000_s1026" type="#_x0000_t202" style="position:absolute;left:0;text-align:left;margin-left:8.6pt;margin-top:729.65pt;width:278.35pt;height:79.9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" o:allowincell="f" stroked="f">
            <v:textbox>
              <w:txbxContent>
                <w:p w14:paraId="137B4E0F" w14:textId="77777777" w:rsidR="00F23EC9" w:rsidRDefault="00F23EC9">
                  <w:pPr>
                    <w:pStyle w:val="Sadrajokvira"/>
                    <w:contextualSpacing/>
                    <w:rPr>
                      <w:color w:val="000000"/>
                    </w:rPr>
                  </w:pPr>
                </w:p>
              </w:txbxContent>
            </v:textbox>
            <w10:wrap anchorx="page" anchory="page"/>
          </v:shape>
        </w:pict>
      </w:r>
    </w:p>
    <w:p w14:paraId="026A603E" w14:textId="77777777" w:rsidR="00F23EC9" w:rsidRDefault="00F23EC9">
      <w:pPr>
        <w:jc w:val="center"/>
        <w:rPr>
          <w:rFonts w:ascii="Times New Roman" w:hAnsi="Times New Roman"/>
        </w:rPr>
      </w:pPr>
    </w:p>
    <w:p w14:paraId="45FACE90" w14:textId="77777777" w:rsidR="00F23EC9" w:rsidRDefault="00D91B65">
      <w:pPr>
        <w:pStyle w:val="Tijeloteksta"/>
        <w:jc w:val="both"/>
        <w:rPr>
          <w:sz w:val="24"/>
          <w:szCs w:val="24"/>
        </w:rPr>
      </w:pPr>
      <w:r>
        <w:rPr>
          <w:rFonts w:ascii="Times New Roman" w:hAnsi="Times New Roman"/>
          <w:sz w:val="24"/>
          <w:szCs w:val="24"/>
        </w:rPr>
        <w:tab/>
        <w:t xml:space="preserve">U svibnju 2025. </w:t>
      </w:r>
      <w:r>
        <w:rPr>
          <w:rFonts w:ascii="Times New Roman" w:hAnsi="Times New Roman"/>
          <w:sz w:val="24"/>
          <w:szCs w:val="24"/>
        </w:rPr>
        <w:t>godine stupio je na snagu novi Zakon o grobljima („Narodne novine” broj 78/25, 80/25), kojim su izmijenjene i dopunjene pojedine odredbe koje uređuju način upravljanja grobljima, obavljanje grobljanskih djelatnosti te prava i obveze jedinica lokalne samouprave i drugih sudionika u sustavu upravljanja grobljima.</w:t>
      </w:r>
    </w:p>
    <w:p w14:paraId="41D35251" w14:textId="77777777" w:rsidR="00F23EC9" w:rsidRDefault="00D91B65">
      <w:pPr>
        <w:pStyle w:val="Tijeloteksta"/>
        <w:jc w:val="both"/>
        <w:rPr>
          <w:rFonts w:ascii="Times New Roman" w:hAnsi="Times New Roman"/>
          <w:sz w:val="24"/>
          <w:szCs w:val="24"/>
        </w:rPr>
      </w:pPr>
      <w:r>
        <w:rPr>
          <w:rFonts w:ascii="Times New Roman" w:hAnsi="Times New Roman"/>
          <w:sz w:val="24"/>
          <w:szCs w:val="24"/>
        </w:rPr>
        <w:tab/>
        <w:t>S obzirom na navedene zakonske izmjene, potrebno je pristupiti izmjeni trenutno važeće Odluke o grobljima („Službeni glasnik Krapinsko – zagorske županije” broj 51/20) kako bi se ista uskladila s novim zakonskim odredbama te osigurala njezina zakonitost i pravna usklađenost. Važeća Odluka sadrži odredbe koje više nisu u potpunosti usklađene s novim zakonskim okvirom, odnosno potrebno je precizirati, dopuniti ili izmijeniti pojedina pitanja uređena Odlukom.</w:t>
      </w:r>
    </w:p>
    <w:p w14:paraId="6309BC66" w14:textId="77777777" w:rsidR="00F23EC9" w:rsidRDefault="00F23EC9">
      <w:pPr>
        <w:jc w:val="right"/>
        <w:rPr>
          <w:rFonts w:ascii="Times New Roman" w:eastAsia="Times New Roman" w:hAnsi="Times New Roman" w:cs="Times New Roman"/>
          <w:color w:val="000000"/>
        </w:rPr>
      </w:pPr>
    </w:p>
    <w:p w14:paraId="078D8022" w14:textId="77777777" w:rsidR="00F23EC9" w:rsidRDefault="00D91B65">
      <w:pPr>
        <w:jc w:val="right"/>
        <w:rPr>
          <w:sz w:val="24"/>
          <w:szCs w:val="24"/>
        </w:rPr>
      </w:pPr>
      <w:r>
        <w:rPr>
          <w:rFonts w:ascii="Times New Roman" w:eastAsia="Times New Roman" w:hAnsi="Times New Roman" w:cs="Times New Roman"/>
          <w:color w:val="000000"/>
          <w:sz w:val="24"/>
          <w:szCs w:val="24"/>
        </w:rPr>
        <w:t>Nositelj izrade</w:t>
      </w:r>
    </w:p>
    <w:p w14:paraId="5A793B1E" w14:textId="77777777" w:rsidR="00F23EC9" w:rsidRDefault="00D91B65">
      <w:pPr>
        <w:jc w:val="right"/>
        <w:rPr>
          <w:sz w:val="24"/>
          <w:szCs w:val="24"/>
        </w:rPr>
      </w:pPr>
      <w:r>
        <w:rPr>
          <w:rFonts w:ascii="Times New Roman" w:eastAsia="Times New Roman" w:hAnsi="Times New Roman" w:cs="Times New Roman"/>
          <w:color w:val="000000"/>
          <w:sz w:val="24"/>
          <w:szCs w:val="24"/>
        </w:rPr>
        <w:t xml:space="preserve">Upravni odjel za financije </w:t>
      </w:r>
    </w:p>
    <w:p w14:paraId="77DDD286" w14:textId="77777777" w:rsidR="00F23EC9" w:rsidRDefault="00D91B65">
      <w:pPr>
        <w:jc w:val="right"/>
        <w:rPr>
          <w:sz w:val="24"/>
          <w:szCs w:val="24"/>
        </w:rPr>
      </w:pPr>
      <w:r>
        <w:rPr>
          <w:rFonts w:ascii="Times New Roman" w:eastAsia="Times New Roman" w:hAnsi="Times New Roman" w:cs="Times New Roman"/>
          <w:color w:val="000000"/>
          <w:sz w:val="24"/>
          <w:szCs w:val="24"/>
        </w:rPr>
        <w:t>i gospodarstvo Grada Pregrade</w:t>
      </w:r>
    </w:p>
    <w:sectPr w:rsidR="00F23EC9">
      <w:pgSz w:w="11906" w:h="16838"/>
      <w:pgMar w:top="1417" w:right="1417"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00"/>
    <w:family w:val="roman"/>
    <w:pitch w:val="variable"/>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40BA"/>
    <w:multiLevelType w:val="multilevel"/>
    <w:tmpl w:val="DAD48C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E42CFC"/>
    <w:multiLevelType w:val="multilevel"/>
    <w:tmpl w:val="B550508A"/>
    <w:lvl w:ilvl="0">
      <w:start w:val="1"/>
      <w:numFmt w:val="upperRoman"/>
      <w:lvlText w:val="%1."/>
      <w:lvlJc w:val="right"/>
      <w:pPr>
        <w:tabs>
          <w:tab w:val="num" w:pos="0"/>
        </w:tabs>
        <w:ind w:left="780" w:hanging="360"/>
      </w:pPr>
      <w:rPr>
        <w:rFonts w:ascii="Times New Roman" w:hAnsi="Times New Roman" w:cs="Times New Roman"/>
        <w:sz w:val="24"/>
        <w:szCs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2" w15:restartNumberingAfterBreak="0">
    <w:nsid w:val="5738407E"/>
    <w:multiLevelType w:val="multilevel"/>
    <w:tmpl w:val="A8DA5FB6"/>
    <w:lvl w:ilvl="0">
      <w:start w:val="6"/>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98A6D43"/>
    <w:multiLevelType w:val="multilevel"/>
    <w:tmpl w:val="FAE4C8E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90045595">
    <w:abstractNumId w:val="1"/>
  </w:num>
  <w:num w:numId="2" w16cid:durableId="93787401">
    <w:abstractNumId w:val="2"/>
  </w:num>
  <w:num w:numId="3" w16cid:durableId="625965258">
    <w:abstractNumId w:val="3"/>
  </w:num>
  <w:num w:numId="4" w16cid:durableId="205569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3EC9"/>
    <w:rsid w:val="00067FFB"/>
    <w:rsid w:val="007A5BDC"/>
    <w:rsid w:val="00A961ED"/>
    <w:rsid w:val="00D91B65"/>
    <w:rsid w:val="00F23EC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C858E5"/>
  <w15:docId w15:val="{8109C632-7AAF-4EC4-9367-15C216A6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styleId="Tekstbalonia">
    <w:name w:val="Balloon Text"/>
    <w:basedOn w:val="Normal"/>
    <w:link w:val="TekstbaloniaChar"/>
    <w:uiPriority w:val="99"/>
    <w:semiHidden/>
    <w:unhideWhenUsed/>
    <w:qFormat/>
    <w:rPr>
      <w:rFonts w:ascii="Tahoma" w:hAnsi="Tahoma" w:cs="Tahoma"/>
      <w:sz w:val="16"/>
      <w:szCs w:val="16"/>
    </w:rPr>
  </w:style>
  <w:style w:type="paragraph" w:customStyle="1" w:styleId="Sadrajokvira">
    <w:name w:val="Sadržaj okvira"/>
    <w:basedOn w:val="Normal"/>
    <w:qFormat/>
  </w:style>
  <w:style w:type="paragraph" w:customStyle="1" w:styleId="Sadrajitablice">
    <w:name w:val="Sadržaji tablice"/>
    <w:basedOn w:val="Normal"/>
    <w:qFormat/>
    <w:pPr>
      <w:widowControl w:val="0"/>
      <w:suppressLineNumbers/>
    </w:pPr>
  </w:style>
  <w:style w:type="paragraph" w:customStyle="1" w:styleId="Naslovtablice">
    <w:name w:val="Naslov tablice"/>
    <w:basedOn w:val="Sadrajitablice"/>
    <w:qFormat/>
    <w:pPr>
      <w:jc w:val="center"/>
    </w:pPr>
    <w:rPr>
      <w:b/>
      <w:bCs/>
    </w:rPr>
  </w:style>
  <w:style w:type="paragraph" w:styleId="Odlomakpopisa">
    <w:name w:val="List Paragraph"/>
    <w:basedOn w:val="Normal"/>
    <w:qFormat/>
    <w:pPr>
      <w:spacing w:after="160"/>
      <w:ind w:left="720"/>
      <w:contextualSpacing/>
    </w:pPr>
  </w:style>
  <w:style w:type="paragraph" w:customStyle="1" w:styleId="Predformatirantekst">
    <w:name w:val="Predformatiran tekst"/>
    <w:basedOn w:val="Normal"/>
    <w:qFormat/>
    <w:rPr>
      <w:rFonts w:ascii="Liberation Mono" w:eastAsia="Liberation Mono" w:hAnsi="Liberation Mono" w:cs="Liberation Mono"/>
      <w:sz w:val="20"/>
      <w:szCs w:val="20"/>
    </w:rPr>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13</Pages>
  <Words>4751</Words>
  <Characters>27082</Characters>
  <Application>Microsoft Office Word</Application>
  <DocSecurity>0</DocSecurity>
  <Lines>225</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MIKRESIMIR</dc:creator>
  <dc:description/>
  <cp:lastModifiedBy>Romana Pavlinec</cp:lastModifiedBy>
  <cp:revision>9</cp:revision>
  <cp:lastPrinted>2014-11-26T14:09:00Z</cp:lastPrinted>
  <dcterms:created xsi:type="dcterms:W3CDTF">2024-02-08T08:48:00Z</dcterms:created>
  <dcterms:modified xsi:type="dcterms:W3CDTF">2026-05-11T09:04:00Z</dcterms:modified>
  <dc:language>hr-HR</dc:language>
</cp:coreProperties>
</file>