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F59C1A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30058C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+*xfs*pvs*Akl*cvA*xBj*qkc*uaj*ktB*ckc*wub*pBk*-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+*yqw*sEu*yDd*sFm*oxA*zbd*wpA*lbc*Cza*pwa*zew*-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+*eDs*lyd*lyd*lyd*lyd*ECy*jas*Awf*bAf*bqa*zfE*-</w:t>
            </w:r>
            <w:r>
              <w:rPr>
                <w:rFonts w:ascii="PDF417x" w:hAnsi="PDF417x"/>
                <w:sz w:val="24"/>
                <w:szCs w:val="24"/>
              </w:rPr>
              <w:br/>
              <w:t>+*ftw*uFs*dwj*xyt*Drq*hyj*uCw*tlg*xua*kdg*onA*-</w:t>
            </w:r>
            <w:r>
              <w:rPr>
                <w:rFonts w:ascii="PDF417x" w:hAnsi="PDF417x"/>
                <w:sz w:val="24"/>
                <w:szCs w:val="24"/>
              </w:rPr>
              <w:br/>
              <w:t>+*ftA*azC*izo*srD*yrj*pxk*wnD*bxg*czD*lDv*uws*-</w:t>
            </w:r>
            <w:r>
              <w:rPr>
                <w:rFonts w:ascii="PDF417x" w:hAnsi="PDF417x"/>
                <w:sz w:val="24"/>
                <w:szCs w:val="24"/>
              </w:rPr>
              <w:br/>
              <w:t>+*xjq*suz*Aif*Cfs*mEz*hty*jra*Amy*bko*kxi*uzq*-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D0E1A1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165E4FA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7"/>
      </w:tblGrid>
      <w:tr w:rsidR="00D364C6" w:rsidRPr="000C4069" w14:paraId="614EC80E" w14:textId="77777777" w:rsidTr="004F6767">
        <w:trPr>
          <w:trHeight w:val="1489"/>
        </w:trPr>
        <w:tc>
          <w:tcPr>
            <w:tcW w:w="0" w:type="auto"/>
          </w:tcPr>
          <w:p w14:paraId="210BEB4E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58EB47A5" wp14:editId="55286D3E">
                  <wp:extent cx="685800" cy="93258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6C0A83" w14:paraId="72F00688" w14:textId="77777777" w:rsidTr="004F6767">
        <w:trPr>
          <w:trHeight w:val="276"/>
        </w:trPr>
        <w:tc>
          <w:tcPr>
            <w:tcW w:w="0" w:type="auto"/>
          </w:tcPr>
          <w:p w14:paraId="265DAE2F" w14:textId="77777777" w:rsidR="00D364C6" w:rsidRPr="006C0A8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A83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6C0A83" w14:paraId="53FDEE7D" w14:textId="77777777" w:rsidTr="004F6767">
        <w:trPr>
          <w:trHeight w:val="291"/>
        </w:trPr>
        <w:tc>
          <w:tcPr>
            <w:tcW w:w="0" w:type="auto"/>
          </w:tcPr>
          <w:p w14:paraId="7D3777DA" w14:textId="77777777" w:rsidR="00D364C6" w:rsidRPr="006C0A8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A83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6C0A83" w14:paraId="25194D06" w14:textId="77777777" w:rsidTr="004F6767">
        <w:trPr>
          <w:trHeight w:val="276"/>
        </w:trPr>
        <w:tc>
          <w:tcPr>
            <w:tcW w:w="0" w:type="auto"/>
          </w:tcPr>
          <w:p w14:paraId="4FB31AD5" w14:textId="77777777" w:rsidR="00D364C6" w:rsidRPr="006C0A8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A83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6C0A83" w14:paraId="39379E07" w14:textId="77777777" w:rsidTr="004F6767">
        <w:trPr>
          <w:trHeight w:val="291"/>
        </w:trPr>
        <w:tc>
          <w:tcPr>
            <w:tcW w:w="0" w:type="auto"/>
          </w:tcPr>
          <w:p w14:paraId="64A0C7D7" w14:textId="77777777" w:rsidR="00D364C6" w:rsidRPr="006C0A83" w:rsidRDefault="006C0A83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A83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  <w:p w14:paraId="1A211C6F" w14:textId="77777777" w:rsidR="006C0A83" w:rsidRPr="006C0A83" w:rsidRDefault="006C0A83" w:rsidP="006C0A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A83">
              <w:rPr>
                <w:rFonts w:ascii="Times New Roman" w:hAnsi="Times New Roman" w:cs="Times New Roman"/>
                <w:b/>
                <w:bCs/>
              </w:rPr>
              <w:t>Povjerenstvo za provedbu javnog natječaja</w:t>
            </w:r>
          </w:p>
          <w:p w14:paraId="6B10C02B" w14:textId="77777777" w:rsidR="006C0A83" w:rsidRPr="006C0A83" w:rsidRDefault="006C0A83" w:rsidP="006C0A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A83">
              <w:rPr>
                <w:rFonts w:ascii="Times New Roman" w:hAnsi="Times New Roman" w:cs="Times New Roman"/>
                <w:b/>
                <w:bCs/>
              </w:rPr>
              <w:t xml:space="preserve">  za imenovanje pročelnika Upravnog odjela za opće poslove</w:t>
            </w:r>
          </w:p>
          <w:p w14:paraId="56ACAB61" w14:textId="4B7585FD" w:rsidR="006C0A83" w:rsidRPr="006C0A83" w:rsidRDefault="006C0A83" w:rsidP="006C0A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A83">
              <w:rPr>
                <w:rFonts w:ascii="Times New Roman" w:hAnsi="Times New Roman" w:cs="Times New Roman"/>
                <w:b/>
                <w:bCs/>
              </w:rPr>
              <w:t>i društvene djelatnosti</w:t>
            </w:r>
          </w:p>
        </w:tc>
      </w:tr>
    </w:tbl>
    <w:p w14:paraId="00D559AA" w14:textId="29C72A13" w:rsidR="00B92D0F" w:rsidRPr="006F41C0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13DD8DA0" w14:textId="77777777" w:rsidR="00B92D0F" w:rsidRPr="006F41C0" w:rsidRDefault="00C9578C" w:rsidP="00B92D0F">
      <w:pPr>
        <w:rPr>
          <w:rFonts w:ascii="Times New Roman" w:hAnsi="Times New Roman" w:cs="Times New Roman"/>
        </w:rPr>
      </w:pPr>
      <w:r w:rsidRPr="006F41C0">
        <w:rPr>
          <w:rFonts w:ascii="Times New Roman" w:eastAsia="Times New Roman" w:hAnsi="Times New Roman" w:cs="Times New Roman"/>
          <w:noProof w:val="0"/>
          <w:lang w:eastAsia="hr-HR"/>
        </w:rPr>
        <w:t>KLASA:</w:t>
      </w:r>
      <w:r w:rsidR="00275B0C" w:rsidRPr="006F41C0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6F41C0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="00B92D0F" w:rsidRPr="006F41C0">
        <w:rPr>
          <w:rFonts w:ascii="Times New Roman" w:eastAsia="Times New Roman" w:hAnsi="Times New Roman" w:cs="Times New Roman"/>
          <w:noProof w:val="0"/>
          <w:lang w:eastAsia="hr-HR"/>
        </w:rPr>
        <w:t>112-02/26-01/01</w:t>
      </w:r>
      <w:r w:rsidR="008C5FE5" w:rsidRPr="006F41C0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</w:p>
    <w:p w14:paraId="358EF5D0" w14:textId="77777777" w:rsidR="00B92D0F" w:rsidRPr="006F41C0" w:rsidRDefault="00C9578C" w:rsidP="00B92D0F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6F41C0">
        <w:rPr>
          <w:rFonts w:ascii="Times New Roman" w:eastAsia="Times New Roman" w:hAnsi="Times New Roman" w:cs="Times New Roman"/>
          <w:noProof w:val="0"/>
          <w:lang w:eastAsia="hr-HR"/>
        </w:rPr>
        <w:t xml:space="preserve">URBROJ: </w:t>
      </w:r>
      <w:r w:rsidR="00B92D0F" w:rsidRPr="006F41C0">
        <w:rPr>
          <w:rFonts w:ascii="Times New Roman" w:eastAsia="Times New Roman" w:hAnsi="Times New Roman" w:cs="Times New Roman"/>
          <w:noProof w:val="0"/>
          <w:lang w:eastAsia="hr-HR"/>
        </w:rPr>
        <w:t>2140-5-04-26-3</w:t>
      </w:r>
    </w:p>
    <w:p w14:paraId="487904DE" w14:textId="18D4F2E8" w:rsidR="00B92D0F" w:rsidRPr="006F41C0" w:rsidRDefault="00D364C6" w:rsidP="00B92D0F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6F41C0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6F41C0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6F41C0" w:rsidRPr="006F41C0">
        <w:rPr>
          <w:rFonts w:ascii="Times New Roman" w:eastAsia="Times New Roman" w:hAnsi="Times New Roman" w:cs="Times New Roman"/>
          <w:noProof w:val="0"/>
          <w:lang w:eastAsia="hr-HR"/>
        </w:rPr>
        <w:t>10</w:t>
      </w:r>
      <w:r w:rsidR="006C0A83" w:rsidRPr="006F41C0">
        <w:rPr>
          <w:rFonts w:ascii="Times New Roman" w:eastAsia="Times New Roman" w:hAnsi="Times New Roman" w:cs="Times New Roman"/>
          <w:noProof w:val="0"/>
          <w:lang w:eastAsia="hr-HR"/>
        </w:rPr>
        <w:t>. lipnja 2026. godine</w:t>
      </w:r>
    </w:p>
    <w:p w14:paraId="65BC81C7" w14:textId="77777777" w:rsidR="00B92D0F" w:rsidRPr="006C0A83" w:rsidRDefault="00B92D0F" w:rsidP="006C0A83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</w:rPr>
      </w:pPr>
    </w:p>
    <w:p w14:paraId="769311D2" w14:textId="2344D658" w:rsidR="006C0A83" w:rsidRPr="006C0A83" w:rsidRDefault="006C0A83" w:rsidP="006C0A83">
      <w:pPr>
        <w:jc w:val="center"/>
        <w:rPr>
          <w:rFonts w:ascii="Times New Roman" w:hAnsi="Times New Roman" w:cs="Times New Roman"/>
        </w:rPr>
      </w:pPr>
      <w:r w:rsidRPr="006C0A83">
        <w:rPr>
          <w:rFonts w:ascii="Times New Roman" w:hAnsi="Times New Roman" w:cs="Times New Roman"/>
        </w:rPr>
        <w:t>OBAVIJESTI I UPUTE KANDIDATIMA PRIJAVLJENIM NA</w:t>
      </w:r>
    </w:p>
    <w:p w14:paraId="6C345186" w14:textId="27740EAA" w:rsidR="006C0A83" w:rsidRPr="006C0A83" w:rsidRDefault="006C0A83" w:rsidP="006C0A83">
      <w:pPr>
        <w:jc w:val="center"/>
        <w:rPr>
          <w:rFonts w:ascii="Times New Roman" w:hAnsi="Times New Roman" w:cs="Times New Roman"/>
        </w:rPr>
      </w:pPr>
      <w:r w:rsidRPr="006C0A83">
        <w:rPr>
          <w:rFonts w:ascii="Times New Roman" w:hAnsi="Times New Roman" w:cs="Times New Roman"/>
        </w:rPr>
        <w:t xml:space="preserve">JAVNI NATJEČAJ ZA IMENOVANJE PROČELNIKA UPRAVNOG ODJELA </w:t>
      </w:r>
      <w:r>
        <w:rPr>
          <w:rFonts w:ascii="Times New Roman" w:hAnsi="Times New Roman" w:cs="Times New Roman"/>
        </w:rPr>
        <w:t>ZA OPĆE POSLOVE I DRUŠTVENE DJELATNOSTI GRADA PREGRADE</w:t>
      </w:r>
    </w:p>
    <w:p w14:paraId="2E2870BA" w14:textId="77777777" w:rsidR="006C0A83" w:rsidRPr="006C0A83" w:rsidRDefault="006C0A83" w:rsidP="006C0A83">
      <w:pPr>
        <w:rPr>
          <w:rFonts w:ascii="Times New Roman" w:hAnsi="Times New Roman" w:cs="Times New Roman"/>
        </w:rPr>
      </w:pPr>
    </w:p>
    <w:p w14:paraId="60796177" w14:textId="01F9235F" w:rsidR="006C0A83" w:rsidRPr="006C0A83" w:rsidRDefault="006C0A83" w:rsidP="006C0A83">
      <w:pPr>
        <w:rPr>
          <w:rFonts w:ascii="Times New Roman" w:hAnsi="Times New Roman" w:cs="Times New Roman"/>
        </w:rPr>
      </w:pPr>
      <w:r w:rsidRPr="006C0A83">
        <w:rPr>
          <w:rFonts w:ascii="Times New Roman" w:hAnsi="Times New Roman" w:cs="Times New Roman"/>
        </w:rPr>
        <w:t>Radno mjesto: Pročelnik/pročelnica Upravnog odjela za opće poslove i društvene djelatnosti – 1 izvršitelj/izvršiteljica na neodređeno puno vrijeme, uz obvezan probni rad u trajanju od tri mjeseca.</w:t>
      </w:r>
    </w:p>
    <w:p w14:paraId="713E22E2" w14:textId="77777777" w:rsidR="006C0A83" w:rsidRDefault="006C0A83" w:rsidP="006C0A83">
      <w:pPr>
        <w:rPr>
          <w:rFonts w:ascii="Times New Roman" w:hAnsi="Times New Roman" w:cs="Times New Roman"/>
        </w:rPr>
      </w:pPr>
    </w:p>
    <w:p w14:paraId="0BCB93ED" w14:textId="21492D81" w:rsidR="00D707B3" w:rsidRPr="006C0A83" w:rsidRDefault="006F41C0" w:rsidP="006C0A83">
      <w:pPr>
        <w:rPr>
          <w:rFonts w:ascii="Times New Roman" w:hAnsi="Times New Roman" w:cs="Times New Roman"/>
        </w:rPr>
      </w:pPr>
      <w:r w:rsidRPr="006C0A83">
        <w:rPr>
          <w:rFonts w:ascii="Times New Roman" w:hAnsi="Times New Roman" w:cs="Times New Roman"/>
        </w:rPr>
        <w:t>OPIS POSLOVA</w:t>
      </w:r>
      <w:r>
        <w:rPr>
          <w:rFonts w:ascii="Times New Roman" w:hAnsi="Times New Roman" w:cs="Times New Roman"/>
        </w:rPr>
        <w:t xml:space="preserve"> RADNOG MJESTA</w:t>
      </w:r>
      <w:r w:rsidRPr="006C0A83">
        <w:rPr>
          <w:rFonts w:ascii="Times New Roman" w:hAnsi="Times New Roman" w:cs="Times New Roman"/>
        </w:rPr>
        <w:t>:</w:t>
      </w:r>
    </w:p>
    <w:p w14:paraId="5EB59704" w14:textId="77777777" w:rsidR="006C0A83" w:rsidRPr="006C0A83" w:rsidRDefault="006C0A83" w:rsidP="00D707B3"/>
    <w:tbl>
      <w:tblPr>
        <w:tblW w:w="9645" w:type="dxa"/>
        <w:tblInd w:w="-289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5"/>
      </w:tblGrid>
      <w:tr w:rsidR="006C0A83" w:rsidRPr="006C0A83" w14:paraId="494B0A9B" w14:textId="77777777" w:rsidTr="006C0A83">
        <w:tc>
          <w:tcPr>
            <w:tcW w:w="9645" w:type="dxa"/>
          </w:tcPr>
          <w:p w14:paraId="0F4E48C9" w14:textId="6A36BFB8" w:rsidR="006C0A83" w:rsidRPr="006F41C0" w:rsidRDefault="006F41C0" w:rsidP="006F41C0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6C0A83" w:rsidRPr="006F41C0">
              <w:rPr>
                <w:rFonts w:ascii="Times New Roman" w:hAnsi="Times New Roman" w:cs="Times New Roman"/>
                <w:color w:val="000000" w:themeColor="text1"/>
              </w:rPr>
              <w:t>ukovodi radom upravnog odjela, organizira i usklađuje rad Upravnog odjela, kao i suradnju s drugim Upravnim odjelom, vodi upravni postupak i rješava u predmetima prava i obveza službenika Upravnog odjela</w:t>
            </w:r>
          </w:p>
        </w:tc>
      </w:tr>
      <w:tr w:rsidR="006C0A83" w:rsidRPr="006C0A83" w14:paraId="3986EC15" w14:textId="77777777" w:rsidTr="006C0A83">
        <w:tc>
          <w:tcPr>
            <w:tcW w:w="9645" w:type="dxa"/>
          </w:tcPr>
          <w:p w14:paraId="5EE2B000" w14:textId="5165F54C" w:rsidR="006C0A83" w:rsidRPr="006F41C0" w:rsidRDefault="006F41C0" w:rsidP="006F41C0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6C0A83" w:rsidRPr="006F41C0">
              <w:rPr>
                <w:rFonts w:ascii="Times New Roman" w:hAnsi="Times New Roman" w:cs="Times New Roman"/>
                <w:color w:val="000000" w:themeColor="text1"/>
              </w:rPr>
              <w:t>bavlja najsloženije poslove iz djelokruga Upravnog odjela</w:t>
            </w:r>
          </w:p>
        </w:tc>
      </w:tr>
      <w:tr w:rsidR="006C0A83" w:rsidRPr="006C0A83" w14:paraId="29C8C9B8" w14:textId="77777777" w:rsidTr="006C0A83">
        <w:tc>
          <w:tcPr>
            <w:tcW w:w="9645" w:type="dxa"/>
          </w:tcPr>
          <w:p w14:paraId="081BB3AE" w14:textId="6452E527" w:rsidR="006C0A83" w:rsidRPr="006F41C0" w:rsidRDefault="006F41C0" w:rsidP="006F41C0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6C0A83" w:rsidRPr="006F41C0">
              <w:rPr>
                <w:rFonts w:ascii="Times New Roman" w:hAnsi="Times New Roman" w:cs="Times New Roman"/>
                <w:color w:val="000000" w:themeColor="text1"/>
              </w:rPr>
              <w:t>ruža pravnu i stručnu potporu radu Gradonačelnika i Gradskog vijeća, obavlja stručne poslove vezane uz pripremu i organizaciju sjednica gradskog vijeća i radnih tijela gradskog vijeća, koordinira i kontrolira pripremu materijala za sjednice Gradskog vijeća i radnih tijela gradskog vijeća sa drugim odjelom te organizira pravovremenu dostavu materijala gradskim vijećnicima.</w:t>
            </w:r>
          </w:p>
        </w:tc>
      </w:tr>
      <w:tr w:rsidR="006C0A83" w:rsidRPr="006C0A83" w14:paraId="7875690C" w14:textId="77777777" w:rsidTr="006C0A83">
        <w:tc>
          <w:tcPr>
            <w:tcW w:w="9645" w:type="dxa"/>
          </w:tcPr>
          <w:p w14:paraId="0347E6FF" w14:textId="4F803D53" w:rsidR="006C0A83" w:rsidRPr="006F41C0" w:rsidRDefault="006F41C0" w:rsidP="006F41C0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="006C0A83" w:rsidRPr="006F41C0">
              <w:rPr>
                <w:rFonts w:ascii="Times New Roman" w:hAnsi="Times New Roman" w:cs="Times New Roman"/>
                <w:color w:val="000000" w:themeColor="text1"/>
              </w:rPr>
              <w:t>rine o unapređenju rada i standarda u područja predškolskog odgoja i obrazovanja, osnovnog školstva, socijalne skrbi, kulture, tehničke kulture i sporta, organizacija civilnog društva, zaštite osobnih podataka</w:t>
            </w:r>
          </w:p>
        </w:tc>
      </w:tr>
      <w:tr w:rsidR="006C0A83" w:rsidRPr="006C0A83" w14:paraId="3D1737A0" w14:textId="77777777" w:rsidTr="006C0A83">
        <w:tc>
          <w:tcPr>
            <w:tcW w:w="9645" w:type="dxa"/>
          </w:tcPr>
          <w:p w14:paraId="4B4BFC34" w14:textId="05BD7565" w:rsidR="006C0A83" w:rsidRPr="006F41C0" w:rsidRDefault="006F41C0" w:rsidP="006F41C0">
            <w:pPr>
              <w:pStyle w:val="Odlomakpopisa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6C0A83" w:rsidRPr="006F41C0">
              <w:rPr>
                <w:rFonts w:ascii="Times New Roman" w:hAnsi="Times New Roman" w:cs="Times New Roman"/>
                <w:color w:val="000000" w:themeColor="text1"/>
              </w:rPr>
              <w:t>bavlja poslove vezano za imovinsko pravne odnose, upravljanja i raspolaganja gradskom imovinom</w:t>
            </w:r>
          </w:p>
        </w:tc>
      </w:tr>
      <w:tr w:rsidR="006C0A83" w:rsidRPr="006C0A83" w14:paraId="0FD6ECA4" w14:textId="77777777" w:rsidTr="006C0A83">
        <w:tc>
          <w:tcPr>
            <w:tcW w:w="9645" w:type="dxa"/>
          </w:tcPr>
          <w:p w14:paraId="3EBDBBB5" w14:textId="504D47CE" w:rsidR="006C0A83" w:rsidRPr="006F41C0" w:rsidRDefault="006F41C0" w:rsidP="006F41C0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6C0A83" w:rsidRPr="006F41C0">
              <w:rPr>
                <w:rFonts w:ascii="Times New Roman" w:hAnsi="Times New Roman" w:cs="Times New Roman"/>
                <w:color w:val="000000" w:themeColor="text1"/>
              </w:rPr>
              <w:t>talno i stručno komunicira unutar i izvan odjela; osigurava koordinaciju i suradnju s drugim odjelom te nadležnim gradskim, županijskim, državnim i drugim tijelima, pravnim osobama u vlasništvu grada,  ustanovama u vlasništvu Grada Pregrade</w:t>
            </w:r>
          </w:p>
        </w:tc>
      </w:tr>
      <w:tr w:rsidR="006C0A83" w:rsidRPr="006C0A83" w14:paraId="338BBA51" w14:textId="77777777" w:rsidTr="006C0A83">
        <w:tc>
          <w:tcPr>
            <w:tcW w:w="9645" w:type="dxa"/>
          </w:tcPr>
          <w:p w14:paraId="434119E8" w14:textId="596747B5" w:rsidR="006C0A83" w:rsidRPr="006F41C0" w:rsidRDefault="006F41C0" w:rsidP="006F41C0">
            <w:pPr>
              <w:pStyle w:val="Odlomakpopisa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6C0A83" w:rsidRPr="006F41C0">
              <w:rPr>
                <w:rFonts w:ascii="Times New Roman" w:hAnsi="Times New Roman" w:cs="Times New Roman"/>
                <w:color w:val="000000" w:themeColor="text1"/>
              </w:rPr>
              <w:t>rganizira i provodi postupke javne i jednostavne nabave roba, radova i usluga iz djelokruga upravnog odjela, te poslove vezane za provođenje postupaka za davanje koncesija.</w:t>
            </w:r>
          </w:p>
        </w:tc>
      </w:tr>
    </w:tbl>
    <w:p w14:paraId="45175C60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3316C43E" w14:textId="3B4AA002" w:rsidR="006C0A83" w:rsidRDefault="006C0A83" w:rsidP="006F41C0">
      <w:pPr>
        <w:jc w:val="both"/>
        <w:rPr>
          <w:b/>
        </w:rPr>
      </w:pPr>
      <w:r w:rsidRPr="006C0A83">
        <w:rPr>
          <w:rFonts w:ascii="Times New Roman" w:hAnsi="Times New Roman" w:cs="Times New Roman"/>
          <w:b/>
        </w:rPr>
        <w:t xml:space="preserve">Podaci o plaći: </w:t>
      </w:r>
      <w:r w:rsidR="006F41C0" w:rsidRPr="006F41C0">
        <w:rPr>
          <w:rFonts w:ascii="Times New Roman" w:hAnsi="Times New Roman" w:cs="Times New Roman"/>
        </w:rPr>
        <w:t>Plaću pročelnika čini umnožak koeficijenta složenosti poslova radnog mjesta na koje je raspoređen i osnovice za obračun plaće, uvećan za 0,5% za svaku navršenu godinu radnog staža. Koeficijent radnog mjesta pročelnik</w:t>
      </w:r>
      <w:r w:rsidR="006F41C0">
        <w:rPr>
          <w:rFonts w:ascii="Times New Roman" w:hAnsi="Times New Roman" w:cs="Times New Roman"/>
        </w:rPr>
        <w:t>a</w:t>
      </w:r>
      <w:r w:rsidR="006F41C0" w:rsidRPr="006F41C0">
        <w:rPr>
          <w:rFonts w:ascii="Times New Roman" w:hAnsi="Times New Roman" w:cs="Times New Roman"/>
        </w:rPr>
        <w:t xml:space="preserve"> iznosi. Osnovica za obračun plaće službenika u upravnim tijelima Grada </w:t>
      </w:r>
      <w:r w:rsidR="00760326">
        <w:rPr>
          <w:rFonts w:ascii="Times New Roman" w:hAnsi="Times New Roman" w:cs="Times New Roman"/>
        </w:rPr>
        <w:t>Pregrade</w:t>
      </w:r>
      <w:r w:rsidR="006F41C0" w:rsidRPr="006F41C0">
        <w:rPr>
          <w:rFonts w:ascii="Times New Roman" w:hAnsi="Times New Roman" w:cs="Times New Roman"/>
        </w:rPr>
        <w:t xml:space="preserve"> iznosi 1.004,87 eura bruto.</w:t>
      </w:r>
    </w:p>
    <w:p w14:paraId="6B3B117C" w14:textId="77777777" w:rsidR="006C0A83" w:rsidRDefault="006C0A83">
      <w:pPr>
        <w:rPr>
          <w:b/>
        </w:rPr>
      </w:pPr>
    </w:p>
    <w:p w14:paraId="7C565148" w14:textId="77777777" w:rsidR="006F41C0" w:rsidRDefault="006F41C0">
      <w:pPr>
        <w:rPr>
          <w:b/>
        </w:rPr>
      </w:pPr>
    </w:p>
    <w:p w14:paraId="50BBD24D" w14:textId="77777777" w:rsidR="006C0A83" w:rsidRPr="006F41C0" w:rsidRDefault="006C0A83" w:rsidP="006C0A83">
      <w:pPr>
        <w:rPr>
          <w:rFonts w:ascii="Times New Roman" w:hAnsi="Times New Roman" w:cs="Times New Roman"/>
          <w:b/>
        </w:rPr>
      </w:pPr>
      <w:r w:rsidRPr="006F41C0">
        <w:rPr>
          <w:rFonts w:ascii="Times New Roman" w:hAnsi="Times New Roman" w:cs="Times New Roman"/>
          <w:b/>
        </w:rPr>
        <w:t>Prethodna provjera znanja i sposobnosti obuhvaća:</w:t>
      </w:r>
    </w:p>
    <w:p w14:paraId="507FAA11" w14:textId="77777777" w:rsidR="006C0A83" w:rsidRPr="006C0A83" w:rsidRDefault="006C0A83" w:rsidP="006C0A83">
      <w:pPr>
        <w:rPr>
          <w:rFonts w:ascii="Times New Roman" w:hAnsi="Times New Roman" w:cs="Times New Roman"/>
          <w:bCs/>
        </w:rPr>
      </w:pPr>
      <w:r w:rsidRPr="006C0A83">
        <w:rPr>
          <w:rFonts w:ascii="Times New Roman" w:hAnsi="Times New Roman" w:cs="Times New Roman"/>
          <w:bCs/>
        </w:rPr>
        <w:t>•</w:t>
      </w:r>
      <w:r w:rsidRPr="006C0A83">
        <w:rPr>
          <w:rFonts w:ascii="Times New Roman" w:hAnsi="Times New Roman" w:cs="Times New Roman"/>
          <w:bCs/>
        </w:rPr>
        <w:tab/>
        <w:t>pisano testiranje</w:t>
      </w:r>
    </w:p>
    <w:p w14:paraId="3C87C815" w14:textId="66B3C81D" w:rsidR="006C0A83" w:rsidRPr="006C0A83" w:rsidRDefault="006C0A83" w:rsidP="006C0A83">
      <w:pPr>
        <w:rPr>
          <w:rFonts w:ascii="Times New Roman" w:hAnsi="Times New Roman" w:cs="Times New Roman"/>
          <w:bCs/>
        </w:rPr>
      </w:pPr>
      <w:r w:rsidRPr="006C0A83">
        <w:rPr>
          <w:rFonts w:ascii="Times New Roman" w:hAnsi="Times New Roman" w:cs="Times New Roman"/>
          <w:bCs/>
        </w:rPr>
        <w:t>•</w:t>
      </w:r>
      <w:r w:rsidRPr="006C0A83">
        <w:rPr>
          <w:rFonts w:ascii="Times New Roman" w:hAnsi="Times New Roman" w:cs="Times New Roman"/>
          <w:bCs/>
        </w:rPr>
        <w:tab/>
        <w:t>intervju s kandidatima koji su ostvarili najmanje 50% bodova iz svakog dijela prethodne provjere znanja i sposobnosti (pisano testiranje iz djelokruga radnog mjesta i iz poznavanja rada na osobnom računalu).</w:t>
      </w:r>
    </w:p>
    <w:p w14:paraId="01D5E6A8" w14:textId="77777777" w:rsidR="006C0A83" w:rsidRPr="006C0A83" w:rsidRDefault="006C0A83" w:rsidP="006C0A83">
      <w:pPr>
        <w:rPr>
          <w:b/>
        </w:rPr>
      </w:pPr>
    </w:p>
    <w:p w14:paraId="05FE7687" w14:textId="77777777" w:rsidR="006C0A83" w:rsidRPr="006F41C0" w:rsidRDefault="006C0A83" w:rsidP="006C0A83">
      <w:pPr>
        <w:rPr>
          <w:rFonts w:ascii="Times New Roman" w:hAnsi="Times New Roman" w:cs="Times New Roman"/>
          <w:b/>
        </w:rPr>
      </w:pPr>
      <w:r w:rsidRPr="006F41C0">
        <w:rPr>
          <w:rFonts w:ascii="Times New Roman" w:hAnsi="Times New Roman" w:cs="Times New Roman"/>
          <w:b/>
        </w:rPr>
        <w:t>Pravni i drugi izvori za pripremanje kandidata za prethodnu provjeru:</w:t>
      </w:r>
    </w:p>
    <w:p w14:paraId="0E15D511" w14:textId="77777777" w:rsidR="006C0A83" w:rsidRPr="006C0A83" w:rsidRDefault="006C0A83" w:rsidP="006C0A83">
      <w:pPr>
        <w:rPr>
          <w:rFonts w:ascii="Times New Roman" w:hAnsi="Times New Roman" w:cs="Times New Roman"/>
          <w:bCs/>
        </w:rPr>
      </w:pPr>
    </w:p>
    <w:p w14:paraId="769BA43C" w14:textId="00E3062C" w:rsidR="006C0A83" w:rsidRDefault="006C0A83" w:rsidP="006C0A8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6C0A83">
        <w:rPr>
          <w:rFonts w:ascii="Times New Roman" w:hAnsi="Times New Roman" w:cs="Times New Roman"/>
          <w:bCs/>
        </w:rPr>
        <w:t>Zakon o lokalnoj i područnoj (regionalnoj) samoupravi („Narodne novine“ br. 33/01., 60/01., 129/05., 109/07., 125/08., 36/09., 150/1., 144/12., 137/15., 123/17., 98/19. i 144/20.)</w:t>
      </w:r>
    </w:p>
    <w:p w14:paraId="4B72E40D" w14:textId="2EC49AA1" w:rsidR="006F41C0" w:rsidRPr="006C0A83" w:rsidRDefault="006F41C0" w:rsidP="006C0A8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Zakon o službenicima i namještenicima </w:t>
      </w:r>
      <w:r w:rsidRPr="006F41C0">
        <w:rPr>
          <w:rFonts w:ascii="Times New Roman" w:hAnsi="Times New Roman" w:cs="Times New Roman"/>
          <w:bCs/>
        </w:rPr>
        <w:t>u lokalnoj i područnoj (regionalnoj) samoupravi</w:t>
      </w:r>
      <w:r>
        <w:rPr>
          <w:rFonts w:ascii="Times New Roman" w:hAnsi="Times New Roman" w:cs="Times New Roman"/>
          <w:bCs/>
        </w:rPr>
        <w:t xml:space="preserve"> („Narodne novine“, broj </w:t>
      </w:r>
      <w:r w:rsidR="00D5602C" w:rsidRPr="00D5602C">
        <w:rPr>
          <w:rFonts w:ascii="Times New Roman" w:hAnsi="Times New Roman" w:cs="Times New Roman"/>
          <w:bCs/>
        </w:rPr>
        <w:t>86/08</w:t>
      </w:r>
      <w:r w:rsidR="00D5602C">
        <w:rPr>
          <w:rFonts w:ascii="Times New Roman" w:hAnsi="Times New Roman" w:cs="Times New Roman"/>
          <w:bCs/>
        </w:rPr>
        <w:t>.</w:t>
      </w:r>
      <w:r w:rsidR="00D5602C" w:rsidRPr="00D5602C">
        <w:rPr>
          <w:rFonts w:ascii="Times New Roman" w:hAnsi="Times New Roman" w:cs="Times New Roman"/>
          <w:bCs/>
        </w:rPr>
        <w:t>, 61/11</w:t>
      </w:r>
      <w:r w:rsidR="00D5602C">
        <w:rPr>
          <w:rFonts w:ascii="Times New Roman" w:hAnsi="Times New Roman" w:cs="Times New Roman"/>
          <w:bCs/>
        </w:rPr>
        <w:t>.</w:t>
      </w:r>
      <w:r w:rsidR="00D5602C" w:rsidRPr="00D5602C">
        <w:rPr>
          <w:rFonts w:ascii="Times New Roman" w:hAnsi="Times New Roman" w:cs="Times New Roman"/>
          <w:bCs/>
        </w:rPr>
        <w:t>, 04/18</w:t>
      </w:r>
      <w:r w:rsidR="00D5602C">
        <w:rPr>
          <w:rFonts w:ascii="Times New Roman" w:hAnsi="Times New Roman" w:cs="Times New Roman"/>
          <w:bCs/>
        </w:rPr>
        <w:t>.</w:t>
      </w:r>
      <w:r w:rsidR="00D5602C" w:rsidRPr="00D5602C">
        <w:rPr>
          <w:rFonts w:ascii="Times New Roman" w:hAnsi="Times New Roman" w:cs="Times New Roman"/>
          <w:bCs/>
        </w:rPr>
        <w:t>, 112/19</w:t>
      </w:r>
      <w:r w:rsidR="00D5602C">
        <w:rPr>
          <w:rFonts w:ascii="Times New Roman" w:hAnsi="Times New Roman" w:cs="Times New Roman"/>
          <w:bCs/>
        </w:rPr>
        <w:t>. i</w:t>
      </w:r>
      <w:r w:rsidR="00D5602C" w:rsidRPr="00D5602C">
        <w:rPr>
          <w:rFonts w:ascii="Times New Roman" w:hAnsi="Times New Roman" w:cs="Times New Roman"/>
          <w:bCs/>
        </w:rPr>
        <w:t xml:space="preserve"> 17/25</w:t>
      </w:r>
      <w:r w:rsidR="00D5602C">
        <w:rPr>
          <w:rFonts w:ascii="Times New Roman" w:hAnsi="Times New Roman" w:cs="Times New Roman"/>
          <w:bCs/>
        </w:rPr>
        <w:t>.)</w:t>
      </w:r>
    </w:p>
    <w:p w14:paraId="2A85DC8A" w14:textId="0184E508" w:rsidR="006C0A83" w:rsidRPr="006C0A83" w:rsidRDefault="006C0A83" w:rsidP="006C0A8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6C0A83">
        <w:rPr>
          <w:rFonts w:ascii="Times New Roman" w:hAnsi="Times New Roman" w:cs="Times New Roman"/>
          <w:bCs/>
        </w:rPr>
        <w:t>Zakon o pravu na pristup informacijama („Narodne novine“,broj 25/13</w:t>
      </w:r>
      <w:r w:rsidR="006F41C0">
        <w:rPr>
          <w:rFonts w:ascii="Times New Roman" w:hAnsi="Times New Roman" w:cs="Times New Roman"/>
          <w:bCs/>
        </w:rPr>
        <w:t>.</w:t>
      </w:r>
      <w:r w:rsidRPr="006C0A83">
        <w:rPr>
          <w:rFonts w:ascii="Times New Roman" w:hAnsi="Times New Roman" w:cs="Times New Roman"/>
          <w:bCs/>
        </w:rPr>
        <w:t>, 85/15</w:t>
      </w:r>
      <w:r w:rsidR="006F41C0">
        <w:rPr>
          <w:rFonts w:ascii="Times New Roman" w:hAnsi="Times New Roman" w:cs="Times New Roman"/>
          <w:bCs/>
        </w:rPr>
        <w:t>. i</w:t>
      </w:r>
      <w:r w:rsidRPr="006C0A83">
        <w:rPr>
          <w:rFonts w:ascii="Times New Roman" w:hAnsi="Times New Roman" w:cs="Times New Roman"/>
          <w:bCs/>
        </w:rPr>
        <w:t xml:space="preserve"> 69/22</w:t>
      </w:r>
      <w:r w:rsidR="006F41C0">
        <w:rPr>
          <w:rFonts w:ascii="Times New Roman" w:hAnsi="Times New Roman" w:cs="Times New Roman"/>
          <w:bCs/>
        </w:rPr>
        <w:t>.</w:t>
      </w:r>
      <w:r w:rsidRPr="006C0A83">
        <w:rPr>
          <w:rFonts w:ascii="Times New Roman" w:hAnsi="Times New Roman" w:cs="Times New Roman"/>
          <w:bCs/>
        </w:rPr>
        <w:t>)</w:t>
      </w:r>
    </w:p>
    <w:p w14:paraId="1420B15C" w14:textId="72A45FD9" w:rsidR="006C0A83" w:rsidRDefault="006C0A83" w:rsidP="006C0A8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6C0A83">
        <w:rPr>
          <w:rFonts w:ascii="Times New Roman" w:hAnsi="Times New Roman" w:cs="Times New Roman"/>
          <w:bCs/>
        </w:rPr>
        <w:t xml:space="preserve">Uredba o uredskom poslovanju („Narodne novine“, broj </w:t>
      </w:r>
      <w:r>
        <w:rPr>
          <w:rFonts w:ascii="Times New Roman" w:hAnsi="Times New Roman" w:cs="Times New Roman"/>
          <w:bCs/>
        </w:rPr>
        <w:t>75/21.)</w:t>
      </w:r>
    </w:p>
    <w:p w14:paraId="44058DE4" w14:textId="63455C22" w:rsidR="006F41C0" w:rsidRPr="006C0A83" w:rsidRDefault="006F41C0" w:rsidP="006C0A8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Zakon o javnoj nabavi („Narodne novine“, broj</w:t>
      </w:r>
      <w:r w:rsidRPr="006F41C0">
        <w:rPr>
          <w:rFonts w:ascii="Times New Roman" w:hAnsi="Times New Roman" w:cs="Times New Roman"/>
          <w:bCs/>
        </w:rPr>
        <w:t xml:space="preserve"> 120/16</w:t>
      </w:r>
      <w:r>
        <w:rPr>
          <w:rFonts w:ascii="Times New Roman" w:hAnsi="Times New Roman" w:cs="Times New Roman"/>
          <w:bCs/>
        </w:rPr>
        <w:t>.</w:t>
      </w:r>
      <w:r w:rsidRPr="006F41C0">
        <w:rPr>
          <w:rFonts w:ascii="Times New Roman" w:hAnsi="Times New Roman" w:cs="Times New Roman"/>
          <w:bCs/>
        </w:rPr>
        <w:t>, 114/22</w:t>
      </w:r>
      <w:r>
        <w:rPr>
          <w:rFonts w:ascii="Times New Roman" w:hAnsi="Times New Roman" w:cs="Times New Roman"/>
          <w:bCs/>
        </w:rPr>
        <w:t>. i</w:t>
      </w:r>
      <w:r w:rsidRPr="006F41C0">
        <w:rPr>
          <w:rFonts w:ascii="Times New Roman" w:hAnsi="Times New Roman" w:cs="Times New Roman"/>
          <w:bCs/>
        </w:rPr>
        <w:t xml:space="preserve"> 48/26</w:t>
      </w:r>
      <w:r>
        <w:rPr>
          <w:rFonts w:ascii="Times New Roman" w:hAnsi="Times New Roman" w:cs="Times New Roman"/>
          <w:bCs/>
        </w:rPr>
        <w:t>.)</w:t>
      </w:r>
    </w:p>
    <w:p w14:paraId="1AA5649C" w14:textId="187633F0" w:rsidR="006C0A83" w:rsidRPr="006C0A83" w:rsidRDefault="006C0A83" w:rsidP="006C0A8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6C0A83">
        <w:rPr>
          <w:rFonts w:ascii="Times New Roman" w:hAnsi="Times New Roman" w:cs="Times New Roman"/>
          <w:bCs/>
        </w:rPr>
        <w:t>Statut Grada Pregrade („Službeni glasnik Krapinsko-zagorske županije“, broj 06/13., 17/13., 7/18., 16/18.-pročišćeni tekst, 5/20., 8/21., 38/22. i 40/23.)</w:t>
      </w:r>
      <w:r w:rsidR="00E039E7">
        <w:rPr>
          <w:rFonts w:ascii="Times New Roman" w:hAnsi="Times New Roman" w:cs="Times New Roman"/>
          <w:bCs/>
        </w:rPr>
        <w:t>.</w:t>
      </w:r>
    </w:p>
    <w:p w14:paraId="61A789C0" w14:textId="77777777" w:rsidR="006C0A83" w:rsidRPr="006C0A83" w:rsidRDefault="006C0A83">
      <w:pPr>
        <w:rPr>
          <w:rFonts w:ascii="Times New Roman" w:hAnsi="Times New Roman" w:cs="Times New Roman"/>
          <w:bCs/>
        </w:rPr>
      </w:pPr>
    </w:p>
    <w:p w14:paraId="5F4EBE61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0A83">
        <w:rPr>
          <w:rFonts w:ascii="Times New Roman" w:hAnsi="Times New Roman" w:cs="Times New Roman"/>
          <w:b/>
          <w:sz w:val="22"/>
          <w:szCs w:val="22"/>
        </w:rPr>
        <w:t>Način obavljanja prethodne provjere znanja i sposobnosti</w:t>
      </w:r>
    </w:p>
    <w:p w14:paraId="52E2F94D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AEA7344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Prethodnoj provjeri znanja i sposobnosti mogu pristupiti samo kandidati koji ispunjavaju formalne uvjete iz Javnog natječaja.</w:t>
      </w:r>
    </w:p>
    <w:p w14:paraId="0137190C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3F54E459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Smatra se da je kandidat koji nije pristupio prethodnoj provjeri povukao prijavu na natječaj.</w:t>
      </w:r>
    </w:p>
    <w:p w14:paraId="5C8A43DE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36C912DC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Po dolasku na prethodnu provjeru znanja i sposobnosti od kandidata će se zatražiti predočenje odgovarajuće identifikacijske isprave (osobne iskaznice, putovnice ili vozačke dozvole) radi utvrđivanja identiteta. Kandidati koji ne mogu dokazati identitet ne mogu pristupiti prethodnoj provjeri.</w:t>
      </w:r>
    </w:p>
    <w:p w14:paraId="0BE43363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5AE5444F" w14:textId="77777777" w:rsidR="006C0A83" w:rsidRPr="006C0A83" w:rsidRDefault="006C0A83" w:rsidP="006C0A83">
      <w:pPr>
        <w:pStyle w:val="Bezproreda"/>
        <w:jc w:val="both"/>
        <w:rPr>
          <w:sz w:val="22"/>
        </w:rPr>
      </w:pPr>
      <w:r w:rsidRPr="006C0A83">
        <w:rPr>
          <w:sz w:val="22"/>
        </w:rPr>
        <w:t>Nakon utvrđivanja identiteta kandidata, prethodna provjera znanja i sposobnosti započinje pisanim testiranjem u dva dijela – iz djelokruga radnog mjesta te iz poznavanja rada na računalu.</w:t>
      </w:r>
    </w:p>
    <w:p w14:paraId="698956BA" w14:textId="77777777" w:rsidR="006C0A83" w:rsidRPr="006C0A83" w:rsidRDefault="006C0A83" w:rsidP="006C0A83">
      <w:pPr>
        <w:pStyle w:val="Bezproreda"/>
        <w:jc w:val="both"/>
        <w:rPr>
          <w:sz w:val="22"/>
        </w:rPr>
      </w:pPr>
    </w:p>
    <w:p w14:paraId="287A61FE" w14:textId="24487C9A" w:rsidR="006C0A83" w:rsidRPr="006C0A83" w:rsidRDefault="006C0A83" w:rsidP="006C0A83">
      <w:pPr>
        <w:pStyle w:val="Bezproreda"/>
        <w:jc w:val="both"/>
        <w:rPr>
          <w:sz w:val="22"/>
        </w:rPr>
      </w:pPr>
      <w:r w:rsidRPr="006C0A83">
        <w:rPr>
          <w:sz w:val="22"/>
        </w:rPr>
        <w:t>Kandidatima će biti podijeljena pitanja za provjeru znanja iz djelokruga radnog mjesta (1</w:t>
      </w:r>
      <w:r w:rsidR="00D5602C">
        <w:rPr>
          <w:sz w:val="22"/>
        </w:rPr>
        <w:t>2</w:t>
      </w:r>
      <w:r w:rsidRPr="006C0A83">
        <w:rPr>
          <w:sz w:val="22"/>
        </w:rPr>
        <w:t xml:space="preserve"> pitanja) te za provjeru znanja iz poznavanja rada na osobnom računalu (10 pitanja). Na pisanoj provjeri kandidati mogu ostvariti od 1 do 1</w:t>
      </w:r>
      <w:r w:rsidR="00D5602C">
        <w:rPr>
          <w:sz w:val="22"/>
        </w:rPr>
        <w:t>2 bodova, odnosno od 1 do 10</w:t>
      </w:r>
      <w:r w:rsidRPr="006C0A83">
        <w:rPr>
          <w:sz w:val="22"/>
        </w:rPr>
        <w:t xml:space="preserve"> bodova. Svaki točan odgovor nosi 1 bod. </w:t>
      </w:r>
    </w:p>
    <w:p w14:paraId="0C410427" w14:textId="77777777" w:rsidR="006C0A83" w:rsidRPr="006C0A83" w:rsidRDefault="006C0A83" w:rsidP="006C0A83">
      <w:pPr>
        <w:pStyle w:val="Bezproreda"/>
        <w:jc w:val="both"/>
        <w:rPr>
          <w:sz w:val="22"/>
          <w:highlight w:val="yellow"/>
        </w:rPr>
      </w:pPr>
    </w:p>
    <w:p w14:paraId="7A0E1833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4E5B9967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09C34EF2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Pojedino pisano testiranje traje maksimalno 30 minuta.</w:t>
      </w:r>
    </w:p>
    <w:p w14:paraId="76358313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24B85B7A" w14:textId="7F85392E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 xml:space="preserve">Intervju se provodi samo s kandidatima koji su ostvarili najmanje 50% bodova iz svakog dijela prethodne provjere znanja i sposobnosti (pisanog testiranja iz djelokruga radnog mjesta – najmanje </w:t>
      </w:r>
      <w:r w:rsidR="00D5602C">
        <w:rPr>
          <w:rFonts w:ascii="Times New Roman" w:hAnsi="Times New Roman" w:cs="Times New Roman"/>
          <w:sz w:val="22"/>
          <w:szCs w:val="22"/>
        </w:rPr>
        <w:t>6</w:t>
      </w:r>
      <w:r w:rsidRPr="006C0A83">
        <w:rPr>
          <w:rFonts w:ascii="Times New Roman" w:hAnsi="Times New Roman" w:cs="Times New Roman"/>
          <w:sz w:val="22"/>
          <w:szCs w:val="22"/>
        </w:rPr>
        <w:t xml:space="preserve"> bodova i pisanog testiranja znanja rada na osobnom računalu - najmanje 5 bodova). </w:t>
      </w:r>
    </w:p>
    <w:p w14:paraId="4F9A2EB0" w14:textId="3D465685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Povjerenstvo za provedbu natječaja kroz intervju s kandidatima utvrđuje snalažljivost, komunikativnost, kreativnost, profesionalne ciljeve i motivaciju za rad u Gradu Pregradi. Rezultati intervjua boduju se od 1 do 10 bodova.</w:t>
      </w:r>
    </w:p>
    <w:p w14:paraId="5656A97D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68FDE7D5" w14:textId="3CEB3EFF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Nakon provedenog postupka prethodne provjere znanja i sposobnosti, Povjerenstvo za provedbu Javnog natječaja sastavlja Izvješće o provedenom postupku i utvrđuje rang listu kandidata prema ukupnom broju ostvarenih bodova na pisanom testiranju, provjeri znanja rada na osobnom računalu i intervjuu.</w:t>
      </w:r>
    </w:p>
    <w:p w14:paraId="03A52218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6FB3C4AC" w14:textId="6BE1E87A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lastRenderedPageBreak/>
        <w:t>Izvješće o provedenom postupku i rang listu kandidata Povjerenstvo dostavlja gradonačelni</w:t>
      </w:r>
      <w:r>
        <w:rPr>
          <w:rFonts w:ascii="Times New Roman" w:hAnsi="Times New Roman" w:cs="Times New Roman"/>
          <w:sz w:val="22"/>
          <w:szCs w:val="22"/>
        </w:rPr>
        <w:t>ku</w:t>
      </w:r>
      <w:r w:rsidRPr="006C0A83">
        <w:rPr>
          <w:rFonts w:ascii="Times New Roman" w:hAnsi="Times New Roman" w:cs="Times New Roman"/>
          <w:sz w:val="22"/>
          <w:szCs w:val="22"/>
        </w:rPr>
        <w:t>.</w:t>
      </w:r>
    </w:p>
    <w:p w14:paraId="5E8CE2B5" w14:textId="53AE7462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Gradonačelni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6C0A83">
        <w:rPr>
          <w:rFonts w:ascii="Times New Roman" w:hAnsi="Times New Roman" w:cs="Times New Roman"/>
          <w:sz w:val="22"/>
          <w:szCs w:val="22"/>
        </w:rPr>
        <w:t xml:space="preserve"> donosi rješenje o imenovanju pročelnika za izabranog kandidata koje se dostavlja javnom objavom na mrežnoj stranici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Pr="00B16A84">
          <w:rPr>
            <w:rStyle w:val="Hiperveza"/>
            <w:rFonts w:ascii="Times New Roman" w:hAnsi="Times New Roman" w:cs="Times New Roman"/>
            <w:sz w:val="22"/>
            <w:szCs w:val="22"/>
          </w:rPr>
          <w:t>www.pregrada.hr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19CB05E8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5DE22D11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C0A83">
        <w:rPr>
          <w:rFonts w:ascii="Times New Roman" w:hAnsi="Times New Roman" w:cs="Times New Roman"/>
          <w:sz w:val="22"/>
          <w:szCs w:val="22"/>
          <w:u w:val="single"/>
        </w:rPr>
        <w:t>Izabrani kandidat mora dostaviti uvjerenje o zdravstvenoj sposobnosti za obavljanje poslova radnog mjesta, uvjerenje nadležnog suda da se protiv njega ne vodi kazneni postupak te izvornike dokaza o ispunjavanju formalnih uvjeta iz javnog natječaja prije donošenja rješenja o imenovanju pročelnika.</w:t>
      </w:r>
    </w:p>
    <w:p w14:paraId="6284CC43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8E7D3EB" w14:textId="66FBBD5B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 xml:space="preserve">Troškove izdavanje uvjerenja o zdravstvenoj sposobnosti za obavljanje poslova radnog mjesta snosi Grad </w:t>
      </w:r>
      <w:r>
        <w:rPr>
          <w:rFonts w:ascii="Times New Roman" w:hAnsi="Times New Roman" w:cs="Times New Roman"/>
          <w:sz w:val="22"/>
          <w:szCs w:val="22"/>
        </w:rPr>
        <w:t>Pregrada</w:t>
      </w:r>
      <w:r w:rsidRPr="006C0A83">
        <w:rPr>
          <w:rFonts w:ascii="Times New Roman" w:hAnsi="Times New Roman" w:cs="Times New Roman"/>
          <w:sz w:val="22"/>
          <w:szCs w:val="22"/>
        </w:rPr>
        <w:t>. Iznimno, u slučaju odustanka kandidata od prijam u službu kandidat sam snosi troškove izdavanja uvjerenja o zdravstvenoj sposobnosti.</w:t>
      </w:r>
    </w:p>
    <w:p w14:paraId="71F72C8D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00B9CA0C" w14:textId="2672D9B5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 xml:space="preserve">Grad </w:t>
      </w:r>
      <w:r>
        <w:rPr>
          <w:rFonts w:ascii="Times New Roman" w:hAnsi="Times New Roman" w:cs="Times New Roman"/>
          <w:sz w:val="22"/>
          <w:szCs w:val="22"/>
        </w:rPr>
        <w:t>Pregrada</w:t>
      </w:r>
      <w:r w:rsidRPr="006C0A83">
        <w:rPr>
          <w:rFonts w:ascii="Times New Roman" w:hAnsi="Times New Roman" w:cs="Times New Roman"/>
          <w:sz w:val="22"/>
          <w:szCs w:val="22"/>
        </w:rPr>
        <w:t xml:space="preserve"> će, nakon izbora kandidata, a prije donošenja rješenja o imenovanju, po službenoj dužnosti provjeriti postoje li zapreke za imenovanje iz članka 15. i 16. Zakona o službenicima i namještenicima u lokalnoj i područnoj (regionalnoj) samoupravi.</w:t>
      </w:r>
    </w:p>
    <w:p w14:paraId="50F3FBFC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7288E282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6C0A83">
        <w:rPr>
          <w:rFonts w:ascii="Times New Roman" w:hAnsi="Times New Roman" w:cs="Times New Roman"/>
          <w:sz w:val="22"/>
          <w:szCs w:val="22"/>
        </w:rPr>
        <w:t>Kandidat koji nije zadovoljan rješenjem o imenovanju pročelnika može pokrenuti upravni spor u roku od 30 dana od dana dostave rješenja o imenovanju pročelnika.</w:t>
      </w:r>
    </w:p>
    <w:p w14:paraId="08667F41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14:paraId="40AD01CF" w14:textId="77777777" w:rsidR="006C0A83" w:rsidRPr="006C0A83" w:rsidRDefault="006C0A83" w:rsidP="006C0A83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0A83">
        <w:rPr>
          <w:rFonts w:ascii="Times New Roman" w:hAnsi="Times New Roman" w:cs="Times New Roman"/>
          <w:b/>
          <w:sz w:val="22"/>
          <w:szCs w:val="22"/>
        </w:rPr>
        <w:t>POZIV NA PRETHODNU PROVJERU ZNANJA I SPOSOBNOSTI BITI ĆE OBJAVLJEN NAJMANJE 5 DANA PRIJE PRETHODNE PROVJERE ZNANJA I SPOSOBNOSTI NA MREŽNOJ STRANICI GRADA PREGRADE,</w:t>
      </w:r>
    </w:p>
    <w:p w14:paraId="02322613" w14:textId="44110F82" w:rsidR="008A562A" w:rsidRDefault="006C0A83" w:rsidP="006C0A83">
      <w:pPr>
        <w:pStyle w:val="Obinitekst"/>
        <w:jc w:val="both"/>
        <w:rPr>
          <w:b/>
        </w:rPr>
      </w:pPr>
      <w:hyperlink r:id="rId8" w:history="1">
        <w:r w:rsidRPr="00B16A8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www.pregrada.hr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8A562A" w:rsidSect="006C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AC2"/>
    <w:multiLevelType w:val="hybridMultilevel"/>
    <w:tmpl w:val="66A65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F50"/>
    <w:multiLevelType w:val="hybridMultilevel"/>
    <w:tmpl w:val="CABAE39E"/>
    <w:lvl w:ilvl="0" w:tplc="AFD86E0A">
      <w:numFmt w:val="bullet"/>
      <w:lvlText w:val="–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647424"/>
    <w:multiLevelType w:val="hybridMultilevel"/>
    <w:tmpl w:val="46C8F2C0"/>
    <w:lvl w:ilvl="0" w:tplc="0C58D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03993"/>
    <w:multiLevelType w:val="hybridMultilevel"/>
    <w:tmpl w:val="1C1A78D2"/>
    <w:lvl w:ilvl="0" w:tplc="AFD86E0A">
      <w:numFmt w:val="bullet"/>
      <w:lvlText w:val="–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92184138">
    <w:abstractNumId w:val="0"/>
  </w:num>
  <w:num w:numId="2" w16cid:durableId="659622448">
    <w:abstractNumId w:val="2"/>
  </w:num>
  <w:num w:numId="3" w16cid:durableId="397675450">
    <w:abstractNumId w:val="1"/>
  </w:num>
  <w:num w:numId="4" w16cid:durableId="1870755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4587"/>
    <w:rsid w:val="00020ED3"/>
    <w:rsid w:val="00275B0C"/>
    <w:rsid w:val="00347D72"/>
    <w:rsid w:val="003F65C1"/>
    <w:rsid w:val="00693AB1"/>
    <w:rsid w:val="006C0A83"/>
    <w:rsid w:val="006F41C0"/>
    <w:rsid w:val="00760326"/>
    <w:rsid w:val="0085386E"/>
    <w:rsid w:val="008A562A"/>
    <w:rsid w:val="008C5FE5"/>
    <w:rsid w:val="008D5FF2"/>
    <w:rsid w:val="009B7A12"/>
    <w:rsid w:val="00A836D0"/>
    <w:rsid w:val="00AC35DA"/>
    <w:rsid w:val="00B92D0F"/>
    <w:rsid w:val="00C765A6"/>
    <w:rsid w:val="00C9578C"/>
    <w:rsid w:val="00D364C6"/>
    <w:rsid w:val="00D5602C"/>
    <w:rsid w:val="00D707B3"/>
    <w:rsid w:val="00E039E7"/>
    <w:rsid w:val="00E55405"/>
    <w:rsid w:val="00F0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796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rsid w:val="006C0A83"/>
    <w:rPr>
      <w:rFonts w:ascii="Courier New" w:eastAsia="Times New Roman" w:hAnsi="Courier New" w:cs="Courier New"/>
      <w:noProof w:val="0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6C0A83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ezproreda">
    <w:name w:val="No Spacing"/>
    <w:uiPriority w:val="1"/>
    <w:qFormat/>
    <w:rsid w:val="006C0A83"/>
    <w:rPr>
      <w:rFonts w:ascii="Times New Roman" w:eastAsia="Calibri" w:hAnsi="Times New Roman" w:cs="Times New Roman"/>
      <w:sz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C0A8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C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rad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6</cp:revision>
  <cp:lastPrinted>2014-11-26T14:09:00Z</cp:lastPrinted>
  <dcterms:created xsi:type="dcterms:W3CDTF">2026-05-29T07:59:00Z</dcterms:created>
  <dcterms:modified xsi:type="dcterms:W3CDTF">2026-06-10T14:16:00Z</dcterms:modified>
</cp:coreProperties>
</file>